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0C" w:rsidRDefault="00A53E0C" w:rsidP="00A53E0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октября 2009 г. № 23 "Об утверждении Порядка разработки среднесрочного финансового плана Косоржанского сельсовета Щигровского района Курской области, формы среднесрочного финансового плана Косоржанского сельсовета Щигровского района Курской области и проекта бюджета муниципального образования «Косоржанский сельсовет» Щигровского района Курской области на очередной финансовый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A53E0C" w:rsidRDefault="00A53E0C" w:rsidP="00A53E0C">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A53E0C" w:rsidRDefault="00A53E0C" w:rsidP="00A53E0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53E0C" w:rsidRDefault="00A53E0C" w:rsidP="00A53E0C">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A53E0C" w:rsidRDefault="00A53E0C" w:rsidP="00A53E0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«24» октября 2009 г. № 23</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разработки среднесрочного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финансового плана Косоржанского сельсовета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формы</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среднесрочного финансового плана Косоржанского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 Курской области  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проекта бюджета муниципального образования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на очередной финансовый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174 и 184 Бюджетного кодекса Российской Федерации  ПОСТАНОВЛЯЮ:</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прилагаемые:</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разработки среднесрочного финансового плана Косоржанского сельсовета Щигровского района Курской области и проекта  бюджета муниципального образования «Косоржанский сельсовет» Щигровского района  Курской области  на очередной финансовый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Форму среднесрочного финансового плана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вступает   в   силу   со   дня   его   подписания.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Н.Н.Шашков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Главы Косоржанского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сельсовета Щигровского района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    октября  2009 г  №  23</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ФОРМА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среднесрочного  финансового плана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2010 -2012 годы</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параметры среднесрочного финансового плана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0"/>
        <w:gridCol w:w="1875"/>
        <w:gridCol w:w="1830"/>
        <w:gridCol w:w="2055"/>
        <w:gridCol w:w="1620"/>
        <w:gridCol w:w="1635"/>
      </w:tblGrid>
      <w:tr w:rsidR="00A53E0C" w:rsidTr="00A53E0C">
        <w:trPr>
          <w:tblCellSpacing w:w="0" w:type="dxa"/>
        </w:trPr>
        <w:tc>
          <w:tcPr>
            <w:tcW w:w="29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Показатели</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Отчетный год</w:t>
            </w:r>
          </w:p>
        </w:tc>
        <w:tc>
          <w:tcPr>
            <w:tcW w:w="18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Текущий год (план)</w:t>
            </w:r>
          </w:p>
        </w:tc>
        <w:tc>
          <w:tcPr>
            <w:tcW w:w="2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Очередной финансовый год</w:t>
            </w:r>
          </w:p>
        </w:tc>
        <w:tc>
          <w:tcPr>
            <w:tcW w:w="32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Плановый период</w:t>
            </w:r>
          </w:p>
        </w:tc>
      </w:tr>
      <w:tr w:rsidR="00A53E0C" w:rsidTr="00A53E0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1-й год</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2-й год</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3</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5</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6</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Бюджет муниципального образования</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Доходы – всего</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В том числе: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налоговые и неналоговые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Безвозмездные поступления</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Расходы всего</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В том числе: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межбюджетные трансферты</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Дефицит (-), профицит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Источники финансирования дефицита, в т.ч.:</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привлечение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-погашение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Изменение остатков средств бюджетов</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Верхний предел муниципального долга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bl>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Главы Косоржанского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сельсовета Щигровского района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 «24» октября 2009 г  № 23</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разработки среднесрочного финансового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плана  Косоржанского сельсовета Щигровского района  Курской области и проекта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муниципального образования «Косоржанский  сельсовет»  Щигровского района Курской области на очередной финансовый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положения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 среднесрочным финансовым планом  Косоржанского сельсовета Щигровского района Курской области понимается документ, содержащий основные параметры о бюджете муниципального образования.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Среднесрочный    финансовый   план    Косоржанского сельсовета Щигровского района Курской    области (далее - среднесрочный финансовый план) разрабатывается в соответствии: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Бюджетным кодексом Российской Федерации;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направлениями бюджетной политики, определенными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 нормативно-правовыми актами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решением  Собрания депутатов Косоржанского сельсовета Щигровского района Курской области «О бюджетном процессе в муниципальном образовании «Косоржанский сельсовет» Щигровского района Курской области; с основными направлениями бюджетной и налоговой политики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прогнозом социально-экономического развития Косоржанского сельсовета Щигровского района Курской области (далее - прогноз социально - экономического развития района).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Среднесрочный финансовый план разрабатывается исходя из необходимости создания условий для предсказуемости и преемственности бюджетной политики органов исполнительной власти Косоржанского сельсовета Щигровского района Курской области, обеспечения сбалансированности бюджета муниципального образования «Косоржанский сельсовет» Щигровского района Курской области, социально-экономической стабильности, исполнения действующих и принимаемых обязательств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Среднесрочный финансовый план является основой для разработки проекта решения  Собрания депутатов Косоржанского сельсовета Щигровского района Курской области  о бюджете на очередной финансовый год, а также для разработки прогноза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Понятия, используемые в настоящем Порядке, означают следующее:</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отчетный    финансовый    год   -    год,    предшествующий   текущему финансовому году;</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очередной финансовый год - год, следующий за текущим финансовым годом;</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плановый период – два финансовых года, следующие за очередным</w:t>
      </w:r>
      <w:r>
        <w:rPr>
          <w:rFonts w:ascii="Tahoma" w:hAnsi="Tahoma" w:cs="Tahoma"/>
          <w:color w:val="000000"/>
          <w:sz w:val="18"/>
          <w:szCs w:val="18"/>
        </w:rPr>
        <w:br/>
        <w:t>финансовым годом; субъекты бюджетного планирования - главные распорядители бюджетных средств в соответствии с ведомственной структурой расходов о бюджете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действующих обязательств — объем ассигнований, необходимых для исполнения действующих обязательств в очередном финансовом году и плановом периоде (с распределением по годам);</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принимаемых обязательств — объем ассигнований, необходимых для исполнения принимаемых обязательств в очередном финансовом году и плановом периоде (с распределением по годам);</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субъекта бюджетного планирования — используемый для целей бюджетного планирования общий объем расходов субъекта бюджетного планирования (включая оценки расходов, финансируемых за счет поступлений от оказания платных услуг.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Общие вопросы разработки среднесрочного   финансового плана и проекта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формировании среднесрочного финансового плана и проекта</w:t>
      </w:r>
      <w:r>
        <w:rPr>
          <w:rFonts w:ascii="Tahoma" w:hAnsi="Tahoma" w:cs="Tahoma"/>
          <w:color w:val="000000"/>
          <w:sz w:val="18"/>
          <w:szCs w:val="18"/>
        </w:rPr>
        <w:br/>
        <w:t>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Администрация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утверждает основные направления налоговой, бюджетной и долговой</w:t>
      </w:r>
      <w:r>
        <w:rPr>
          <w:rFonts w:ascii="Tahoma" w:hAnsi="Tahoma" w:cs="Tahoma"/>
          <w:color w:val="000000"/>
          <w:sz w:val="18"/>
          <w:szCs w:val="18"/>
        </w:rPr>
        <w:br/>
        <w:t>политики в очередном финансовом году и плановом периоде, основные</w:t>
      </w:r>
      <w:r>
        <w:rPr>
          <w:rFonts w:ascii="Tahoma" w:hAnsi="Tahoma" w:cs="Tahoma"/>
          <w:color w:val="000000"/>
          <w:sz w:val="18"/>
          <w:szCs w:val="18"/>
        </w:rPr>
        <w:br/>
        <w:t>параметры прогноза социально-экономического развития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утверждает основные показатели среднесрочного финансового плана и среднесрочный финансовый план;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утверждает основные характеристики проекта бюджета муниципального образования «Косоржанский сельсовет» Щигровского района Курской области и распределение расходов бюджета муниципального образования «Косоржанский сельсовет» Щигровского района Курской области на очередной финансовый год в соответствии   с функциональной   классификацией   расходов Российской Федерации;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рассматривает предложения о соотношениях между величиной прожиточного минимума и минимальным размером оплаты труда, а также предложения о  порядке индексации заработной платы работников организаций бюджетной сферы, финансируемых за счет средств  бюджета муниципального образования «Косоржанский сельсовет» Щигровского района Курской области, денежного содержания муниципальных служащих муниципального образования «Косоржанский сельсовет» Щигровского района Курской области в очередном финансовом году и на среднесрочную перспективу и ассигнованиях на эти цели;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утверждает распределение бюджета принимаемых обязательств между субъектами   бюджетного планирования и муниципальными целевыми программами;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утверждает проект  бюджета муниципального образования «Косоржанский сельсовет» Щигровского района Курской области и вносит его Главе Косоржанского сельсовета Щигровского района Курской области для направления в  Собрание депутатов Косоржанского сельсовета Щигровского района Курской области ,определяет перечень субъектов бюджетного планирования с указанием главных распорядителей средств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формировании среднесрочного финансового плана и проекта  бюджета муниципального образования «Косоржанский сельсовет» Щигровского района Курской области  Администрация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организует разработку среднесрочного финансового плана, основных</w:t>
      </w:r>
      <w:r>
        <w:rPr>
          <w:rFonts w:ascii="Tahoma" w:hAnsi="Tahoma" w:cs="Tahoma"/>
          <w:color w:val="000000"/>
          <w:sz w:val="18"/>
          <w:szCs w:val="18"/>
        </w:rPr>
        <w:br/>
        <w:t>принципов формирования бюджета муниципального образования «Косоржанский сельсовет» Щигровского района Курской области на   очередной   финансовый   год,   проекта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разрабатывает   основные   направления   налоговой,   бюджетной   и</w:t>
      </w:r>
      <w:r>
        <w:rPr>
          <w:rFonts w:ascii="Tahoma" w:hAnsi="Tahoma" w:cs="Tahoma"/>
          <w:color w:val="000000"/>
          <w:sz w:val="18"/>
          <w:szCs w:val="18"/>
        </w:rPr>
        <w:br/>
        <w:t>долговой политики;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разрабатывает основные характеристики проекта бюджета муниципального образования «Косоржанский сельсовет» Щигровского района Курской области, распределение   расходов  бюджета     о соответствии с функциональной классификацией расходов;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доводит до субъектов бюджетного планирования предельные объемы</w:t>
      </w:r>
      <w:r>
        <w:rPr>
          <w:rFonts w:ascii="Tahoma" w:hAnsi="Tahoma" w:cs="Tahoma"/>
          <w:color w:val="000000"/>
          <w:sz w:val="18"/>
          <w:szCs w:val="18"/>
        </w:rPr>
        <w:br/>
        <w:t>финансирования и бюджетные проектировки па очередной финансовый год</w:t>
      </w:r>
      <w:r>
        <w:rPr>
          <w:rFonts w:ascii="Tahoma" w:hAnsi="Tahoma" w:cs="Tahoma"/>
          <w:color w:val="000000"/>
          <w:sz w:val="18"/>
          <w:szCs w:val="18"/>
        </w:rPr>
        <w:br/>
        <w:t>и плановый период;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утверждает распределение бюджета принимаемых обязательств  между субъектами  бюджетного планирования и муниципальными целевыми программами;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определяет   порядок   формирования   бюджетов   действующих   и</w:t>
      </w:r>
      <w:r>
        <w:rPr>
          <w:rFonts w:ascii="Tahoma" w:hAnsi="Tahoma" w:cs="Tahoma"/>
          <w:color w:val="000000"/>
          <w:sz w:val="18"/>
          <w:szCs w:val="18"/>
        </w:rPr>
        <w:br/>
        <w:t>принимаемых обязательств и методику расчета ассигнований, необходимых</w:t>
      </w:r>
      <w:r>
        <w:rPr>
          <w:rFonts w:ascii="Tahoma" w:hAnsi="Tahoma" w:cs="Tahoma"/>
          <w:color w:val="000000"/>
          <w:sz w:val="18"/>
          <w:szCs w:val="18"/>
        </w:rPr>
        <w:br/>
        <w:t>для их исполнения;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определяет порядок применения реестра  расходных обязательств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 обеспечивает  методологическое руководство разработкой докладов о результатах и основных направлениях деятельности субъектов бюджетного планирования;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обеспечивает методологическое руководство разработкой субъектами бюджетного планирования и администраторами доходов  бюджета бюджетных проектировок на очередной финансовый год и плановый период;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нормативно-правовыми актами (за исключением расходов инвестиционного характера);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готовит предложения     по     распределению     между    субъектами     бюджетного планирования объемов финансирования между муниципальными целевыми программами;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согласовывает с администраторами доходов бюджета муниципального образования «Косоржанский сельсовет» Щигровского района Курской области объемы доходов  бюджета муниципального образования «Косоржанский сельсовет» Щигровского района Курской области, а также поступлений от платных услуг;</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 разрабатывает прогноз социально-экономического развития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устанавливает  перечень   отчетных и (или) прогнозных данных, необходимых для разработки прогноза социально-экономического   развития   муниципального образования «Косоржанский сельсовет» Щигровского района Курской области и   материалов   к   проекту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формировании среднесрочного финансового плана и проекта  бюджета субъекты бюджетного планирования: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разрабатывают доклады о результатах и основных направлениях</w:t>
      </w:r>
      <w:r>
        <w:rPr>
          <w:rFonts w:ascii="Tahoma" w:hAnsi="Tahoma" w:cs="Tahoma"/>
          <w:color w:val="000000"/>
          <w:sz w:val="18"/>
          <w:szCs w:val="18"/>
        </w:rPr>
        <w:br/>
        <w:t>деятельности субъектов бюджетного планирования;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обеспечивают     в     пределах     своих     бюджетов     планирование</w:t>
      </w:r>
      <w:r>
        <w:rPr>
          <w:rFonts w:ascii="Tahoma" w:hAnsi="Tahoma" w:cs="Tahoma"/>
          <w:color w:val="000000"/>
          <w:sz w:val="18"/>
          <w:szCs w:val="18"/>
        </w:rPr>
        <w:br/>
        <w:t>ассигнований, направляемых на исполнение в плановом периоде расходных</w:t>
      </w:r>
      <w:r>
        <w:rPr>
          <w:rFonts w:ascii="Tahoma" w:hAnsi="Tahoma" w:cs="Tahoma"/>
          <w:color w:val="000000"/>
          <w:sz w:val="18"/>
          <w:szCs w:val="18"/>
        </w:rPr>
        <w:br/>
        <w:t>обязательств;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распределяют предельные объемы  финансирования по муниципальным целевым    программам,     статьям    классификации    расходов    бюджетов Российской Федерации;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представляют в Администрацию Косоржанского сельсовета Щигровского района Курской области материалы, необходимые для разработки соответствующих проектировок среднесрочного финансового плана и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 установленном порядке разрабатывают муниципальные целевые программы  в установленной сфере деятельности;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представляют в установленном порядке данные и материалы, необходимые для оценки муниципальных целевых программ.</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Разработка среднесрочного финансового плана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7.Среднесрочный   финансовый   план   разрабатывается   исходя    из</w:t>
      </w:r>
      <w:r>
        <w:rPr>
          <w:rFonts w:ascii="Tahoma" w:hAnsi="Tahoma" w:cs="Tahoma"/>
          <w:color w:val="000000"/>
          <w:sz w:val="18"/>
          <w:szCs w:val="18"/>
        </w:rPr>
        <w:br/>
        <w:t>необходимости создания условий для обеспечения сбалансированности и</w:t>
      </w:r>
      <w:r>
        <w:rPr>
          <w:rFonts w:ascii="Tahoma" w:hAnsi="Tahoma" w:cs="Tahoma"/>
          <w:color w:val="000000"/>
          <w:sz w:val="18"/>
          <w:szCs w:val="18"/>
        </w:rPr>
        <w:br/>
        <w:t>устойчивости бюджетной системы муниципального образования «Косоржанский сельсовет» Щигровского района Курской области, предсказуемости и преемственности бюджетной,  налоговой и долговой политики, исполнения действующих и принимаемых обязательств муниципального образования «Косоржанский  сельсовет» Щигровского района Курской области.</w:t>
      </w:r>
    </w:p>
    <w:p w:rsidR="00A53E0C" w:rsidRDefault="00A53E0C" w:rsidP="00E27B4C">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Среднесрочный   финансовый   план  должен   содержать   следующие</w:t>
      </w:r>
      <w:r>
        <w:rPr>
          <w:rFonts w:ascii="Tahoma" w:hAnsi="Tahoma" w:cs="Tahoma"/>
          <w:color w:val="000000"/>
          <w:sz w:val="18"/>
          <w:szCs w:val="18"/>
        </w:rPr>
        <w:br/>
        <w:t>параметры:</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расходов и дефицита (профицита)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объемы бюджетных ассигнований по главным распорядителям бюджетных средств (далее - главные распорядители) по разделам, подразделам, целевым статьям и видам расходов классификации расходов бюджетов;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верхний предел государственного внутреннего долга бюджета муниципального образования «Косоржанский сельсовет» Щигровского района Курской области, верхний предел государственного внешнего долга муниципального образования «Косоржанский сельсовет» Щигровского района Курской области (при наличии такового).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Среднесрочный финансовый план разрабатывается в 3 этапа.</w:t>
      </w:r>
    </w:p>
    <w:p w:rsidR="00A53E0C" w:rsidRDefault="00A53E0C" w:rsidP="00E27B4C">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На   первом   этапе   разрабатываются  и   одобряются   основные</w:t>
      </w:r>
      <w:r>
        <w:rPr>
          <w:rFonts w:ascii="Tahoma" w:hAnsi="Tahoma" w:cs="Tahoma"/>
          <w:color w:val="000000"/>
          <w:sz w:val="18"/>
          <w:szCs w:val="18"/>
        </w:rPr>
        <w:br/>
        <w:t>направления       налоговой       и       бюджетной       политики,       основные</w:t>
      </w:r>
      <w:r>
        <w:rPr>
          <w:rFonts w:ascii="Tahoma" w:hAnsi="Tahoma" w:cs="Tahoma"/>
          <w:color w:val="000000"/>
          <w:sz w:val="18"/>
          <w:szCs w:val="18"/>
        </w:rPr>
        <w:br/>
        <w:t>макроэкономические    показатели,    параметры    и    приоритеты   социально- экономического развития муниципального образования «Косоржанский сельсовет» Щигровского района Курской области на среднесрочную перспективу.</w:t>
      </w:r>
    </w:p>
    <w:p w:rsidR="00A53E0C" w:rsidRDefault="00A53E0C" w:rsidP="00E27B4C">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Основные   направления   налоговой   политики   содержат   анализ законодательства Российской Федерации и Курской области, нормативно-правовых актов местного самоуправления о налогах и сборах, обоснование предложений по его совершенствованию, концепции (основные положения) проектов соответствующих нормативных правовых актов, расчеты влияния изменений в законодательстве Российской Федерации и Курской области, муниципального образования о налогах и сборах на доходы бюджетов бюджетной системы, в том числе  бюджета муниципального образования «Косоржанский сельсовет» Щигровского района Курской области,  в очередном году и плановом периоде, предложения по улучшению налогового администрирования, оценку влияния налоговой политики.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Основные    направления    налоговой    и    бюджетной    политики разрабатываются Администрацией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При формировании среднесрочного финансового плана и проекта  бюджета муниципального образования «Косоржанский сельсовет» Щигровского района Курской области Администрация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разрабатывает следующие показатели: Прогноз социально-экономического развития муниципального образования «Косоржанский сельсовет» Щигровского района Курской области на очередной год и среднесрочную перспективу:</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 роста цен на потребительские товары и тарифов на платные услуги;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объемы и темпы роста (снижения) реализации сельскохозяйственной Продукций)</w:t>
      </w:r>
      <w:r>
        <w:rPr>
          <w:rStyle w:val="ad"/>
          <w:rFonts w:ascii="Tahoma" w:hAnsi="Tahoma" w:cs="Tahoma"/>
          <w:color w:val="000000"/>
          <w:sz w:val="18"/>
          <w:szCs w:val="18"/>
        </w:rPr>
        <w:t> </w:t>
      </w:r>
      <w:r>
        <w:rPr>
          <w:rFonts w:ascii="Tahoma" w:hAnsi="Tahoma" w:cs="Tahoma"/>
          <w:color w:val="000000"/>
          <w:sz w:val="18"/>
          <w:szCs w:val="18"/>
        </w:rPr>
        <w:t>индексы-дефляторы цен;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объема производства и реализации подакцизных товаров, подлежащих обложению акцизами (в разрезе предприятий муниципального образования «Косоржанский сельсовет» Щигровского района Курской области  с приложением копий лицензий на занятие данными видами деятельности);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объемы добычи минерального сырья (по видам), облагаемого налогом на добычу полезных ископаемых;</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численность занятых в экономике;</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фонд заработной платы и темпы роста (снижения) фонда заработной платы;</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прибыль прибыльных организаций до налогообложения; объемы   и   темпы  роста   (снижения)   работ,   выполненных  по   виду деятельности «Строительство», индексы - дефляторы цен;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величину прожиточного минимума в расчете на душу населения и по основным социально-демографическим группам населения( по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 розничной торговли, индекс физического объема, индексы-дефляторы цен;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 общественного питания, индекс физического объема, индексы-дефляторы цен;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платных услуг населению, индекс физического объема, индексы-дефляторы цен;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организует разработку прогноза социально - экономического развития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На втором этапе разрабатываются основные показатели среднесрочного финансового плана, а так же основные направления долговой политики.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показатели среднесрочного финансового плана разрабатываются по  форме  согласно  приложениям  №1-3   к  настоящему Порядку с целью  определения  общего  объема  финансовых  ресурсов, которые могут быть направлены на исполнение  расходных  обязательств муниципального образования «Косоржанский сельсовет» Щигровского района Курской области в плановом периоде.</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Параметры   среднесрочного   финансового   плана  представляются Администрацией Косоржанского сельсовета Щигровского района Курской области вместе с пояснительной запиской, в которой характеризуются особенности распределения бюджетных средств и приводится обоснование параметров среднесрочного финансового плана, в том числе их сопоставления с ранее одобренными параметрами с указанием причин планируемых изменений.</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На третьем этапе утверждается проект среднесрочного финансового плана.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Значения показателей среднесрочного финансового плана и основных показателей проекта бюджета должны соответствовать друг другу.</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Проект среднесрочного финансового плана утверждается Администрацией Косоржанского сельсовета Щигровского района Курской области и представляется в  Собрание депутатов одновременно с проектом  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случае внесения в проект  бюджета муниципального образования «Косоржанский сельсовет» Щигровского района Курской области при его рассмотрении  Собранием депутатов изменений, влекущих за собой  возникновение расхождений  с показателями утвержденного среднесрочного финансового плана,  Администрация Косоржанского сельсовета Щигровского района Курской области принимает предложения о внесении соответствующих  изменений в утвержденный среднесрочный финансовый план.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Разработка проекта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Исходной базой для разработки проекта  бюджета муниципального образования «Косоржанский сельсовет» Щигровского района Курской области являются: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среднесрочный финансовый план;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прогноз социально – экономического развития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отчет об исполнении областного бюджета в отчетном году и основные</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ожидаемого исполнения областного бюджета в текущем году;</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доклады  о  результатах  и основных направлениях деятельности субъектов бюджетного планирования;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нормативно - правовая база о налогах и сборах;</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реестр  расходных   обязательств  муниципального образования «Косоржанский сельсовет» Щигровского района Курской области и изменения, которые планируется в него ввести  в связи с  проектами нормативно правовых актов (нормативными   правовыми соглашениями), определяющих расходные обязательства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законе о бюджете должны содержаться основные характеристики бюджета, к которым относятся: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общий объем доходов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общий объем расходов;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дефицит (профицит)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нормативы распределения доходов между бюджетами бюджетной</w:t>
      </w:r>
      <w:r>
        <w:rPr>
          <w:rFonts w:ascii="Tahoma" w:hAnsi="Tahoma" w:cs="Tahoma"/>
          <w:color w:val="000000"/>
          <w:sz w:val="18"/>
          <w:szCs w:val="18"/>
        </w:rPr>
        <w:br/>
        <w:t>системы   Российской   Федерации   в   случае,   если они не установлены бюджетным законодательством Российской Федераций;</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перечень главных администраторов доходов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перечень  главных  администраторов   источников  финансирования</w:t>
      </w:r>
      <w:r>
        <w:rPr>
          <w:rFonts w:ascii="Tahoma" w:hAnsi="Tahoma" w:cs="Tahoma"/>
          <w:color w:val="000000"/>
          <w:sz w:val="18"/>
          <w:szCs w:val="18"/>
        </w:rPr>
        <w:br/>
        <w:t>дефицита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общий</w:t>
      </w:r>
      <w:r>
        <w:rPr>
          <w:rFonts w:ascii="Tahoma" w:hAnsi="Tahoma" w:cs="Tahoma"/>
          <w:color w:val="000000"/>
          <w:sz w:val="18"/>
          <w:szCs w:val="18"/>
          <w:vertAlign w:val="subscript"/>
        </w:rPr>
        <w:t> </w:t>
      </w:r>
      <w:r>
        <w:rPr>
          <w:rFonts w:ascii="Tahoma" w:hAnsi="Tahoma" w:cs="Tahoma"/>
          <w:color w:val="000000"/>
          <w:sz w:val="18"/>
          <w:szCs w:val="18"/>
        </w:rPr>
        <w:t>объем бюджетных ассигнований, направляемых на исполнение публичных нормативных, обязательств;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объем межбюджетных трансфертов, получаемых из  других бюджетов и (или) предоставляемых другим бюджетам бюджетной системы РФ в очередном финансовом году;</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источники финансирования дефицита бюджета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(с  годом и каждым годом планового периода), с указанием, в том числе верхнего предела долга по государственным и муниципальным гарантиям;</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иные показатели бюджета муниципального образования «Косоржанский сельсовет» Щигровского района Курской области, установленные Бюджетным кодексом РФ, Законом Курской области, нормативно-правовыми актами местного самоуправления.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К проекту  бюджета муниципального образования «Косоржанский сельсовет» Щигровского района Курской области при его внесении в  Собрание депутатов прилагаются документы и материалы, указанные в статье 15 Решения  Собрания депутатов «О бюджетном процессе в муниципальном образовании «Косоржанский сельсовет» Щигровского района Курской области» и разработки статье 184.2  Бюджетного кодекса РФ, а так же среднесрочный финансовый план.</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Проект  бюджета муниципального образования «Косоржанский сельсовет» Щигровского района Курской области разрабатывается в 3 этапа. На    первом    этапе    формирования    проекта      бюджета муниципального образования «Косоржанский сельсовет» Щигровского района Курской области разрабатываются основные характеристики бюджета муниципального образования «Косоржанский сельсовет» Щигровского района Курской области в составе показателей среднесрочного финансового плана, а так же основные параметры прогноза  социально-экономического развития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разработки   прогноза   социально-экономического развития поселения определяется Администрацией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Одобренные Администрацией Косоржанского сельсовета  Щигровского района Курской области  предельные объемы финансирования на очередной финансовый год и плановый период доводятся до субъектов бюджетного планирования в составе среднесрочного финансового плана.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субъектам бюджетного планирования направляются методические указания по формированию бюджетных проектов на очередной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26. На втором этапе субъекты бюджетного планирования в соответствии с методическими указаниями Администрации Косоржанского сельсовета Щигровского района Курской области   распределяют предельные объемы финансирования на очередной финансовый год по статьям функциональной и экономической классификации расходов бюджета, муниципальным целевым программам и представляют указанное распределение, а так же  иные документы и материалы, необходимые для </w:t>
      </w:r>
      <w:r>
        <w:rPr>
          <w:rFonts w:ascii="Tahoma" w:hAnsi="Tahoma" w:cs="Tahoma"/>
          <w:color w:val="000000"/>
          <w:sz w:val="18"/>
          <w:szCs w:val="18"/>
        </w:rPr>
        <w:lastRenderedPageBreak/>
        <w:t>составления проекта  бюджета муниципального образования «Косоржанский сельсовет» Щигровского района Курской области в Администрацию Косоржанского  сельсовета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На третьем этапе Администрация Косоржанского сельсовета Щигровского района Курской области на основе представленных   субъектами бюджетного планирования расчетов, документов и материалов формирует проект  бюджета муниципального образования «Косоржанский сельсовет» Щигровского района Курской области и прилагаемые к нему материалы и вносит на рассмотрение Собрания депутатов.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проекта  бюджета муниципального образования «Косоржанский сельсовет» Щигровского района Курской области  должны соответствовать основным показателям среднесрочного финансового плана.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Проект бюджета муниципального образования «Косоржанский сельсовет» Щигровского района Курской области представляется Администрацией  в Собрание депутатов  для внесения не позднее 15 ноября.</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1</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разработки среднесрочного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финансового плана Косоржанского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сельсовета Щигровского района,формы</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среднесрочного финансового плана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проекта бюджета муниципального</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«Косоржанский</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 Щигровского района на</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очередной финансовый год.</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Распределение объемов бюджетных ассигнований по главным распорядителям средств</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«Косоржанский сельсовет» Щигровского района Курской области</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(тыс.руб)</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2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7"/>
        <w:gridCol w:w="1588"/>
        <w:gridCol w:w="1243"/>
        <w:gridCol w:w="884"/>
        <w:gridCol w:w="1064"/>
        <w:gridCol w:w="1064"/>
        <w:gridCol w:w="1769"/>
        <w:gridCol w:w="1423"/>
        <w:gridCol w:w="1423"/>
      </w:tblGrid>
      <w:tr w:rsidR="00A53E0C" w:rsidTr="00A53E0C">
        <w:trPr>
          <w:tblCellSpacing w:w="0" w:type="dxa"/>
        </w:trPr>
        <w:tc>
          <w:tcPr>
            <w:tcW w:w="23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lastRenderedPageBreak/>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ГРБС</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Рз</w:t>
            </w:r>
          </w:p>
        </w:tc>
        <w:tc>
          <w:tcPr>
            <w:tcW w:w="8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ПР</w:t>
            </w:r>
          </w:p>
        </w:tc>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ЦСР</w:t>
            </w:r>
          </w:p>
        </w:tc>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ВР</w:t>
            </w:r>
          </w:p>
        </w:tc>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Очередной</w:t>
            </w:r>
          </w:p>
          <w:p w:rsidR="00A53E0C" w:rsidRDefault="00A53E0C">
            <w:pPr>
              <w:pStyle w:val="ac"/>
              <w:spacing w:before="0" w:beforeAutospacing="0" w:after="0" w:afterAutospacing="0"/>
              <w:jc w:val="both"/>
              <w:rPr>
                <w:sz w:val="18"/>
                <w:szCs w:val="18"/>
              </w:rPr>
            </w:pPr>
            <w:r>
              <w:rPr>
                <w:sz w:val="18"/>
                <w:szCs w:val="18"/>
              </w:rPr>
              <w:t>Финансовый</w:t>
            </w:r>
          </w:p>
          <w:p w:rsidR="00A53E0C" w:rsidRDefault="00A53E0C">
            <w:pPr>
              <w:pStyle w:val="ac"/>
              <w:spacing w:before="0" w:beforeAutospacing="0" w:after="0" w:afterAutospacing="0"/>
              <w:jc w:val="both"/>
              <w:rPr>
                <w:sz w:val="18"/>
                <w:szCs w:val="18"/>
              </w:rPr>
            </w:pPr>
            <w:r>
              <w:rPr>
                <w:sz w:val="18"/>
                <w:szCs w:val="18"/>
              </w:rPr>
              <w:t>год</w:t>
            </w:r>
          </w:p>
        </w:tc>
        <w:tc>
          <w:tcPr>
            <w:tcW w:w="28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Плановый</w:t>
            </w:r>
          </w:p>
          <w:p w:rsidR="00A53E0C" w:rsidRDefault="00A53E0C">
            <w:pPr>
              <w:pStyle w:val="ac"/>
              <w:spacing w:before="0" w:beforeAutospacing="0" w:after="0" w:afterAutospacing="0"/>
              <w:jc w:val="both"/>
              <w:rPr>
                <w:sz w:val="18"/>
                <w:szCs w:val="18"/>
              </w:rPr>
            </w:pPr>
            <w:r>
              <w:rPr>
                <w:sz w:val="18"/>
                <w:szCs w:val="18"/>
              </w:rPr>
              <w:t>период</w:t>
            </w:r>
          </w:p>
        </w:tc>
      </w:tr>
      <w:tr w:rsidR="00A53E0C" w:rsidTr="00A53E0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53E0C" w:rsidRDefault="00A53E0C">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1-й год</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2-й год</w:t>
            </w:r>
          </w:p>
        </w:tc>
      </w:tr>
      <w:tr w:rsidR="00A53E0C" w:rsidTr="00A53E0C">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r w:rsidR="00A53E0C" w:rsidTr="00A53E0C">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53E0C" w:rsidRDefault="00A53E0C">
            <w:pPr>
              <w:pStyle w:val="ac"/>
              <w:spacing w:before="0" w:beforeAutospacing="0" w:after="0" w:afterAutospacing="0"/>
              <w:jc w:val="both"/>
              <w:rPr>
                <w:sz w:val="18"/>
                <w:szCs w:val="18"/>
              </w:rPr>
            </w:pPr>
            <w:r>
              <w:rPr>
                <w:sz w:val="18"/>
                <w:szCs w:val="18"/>
              </w:rPr>
              <w:t> </w:t>
            </w:r>
          </w:p>
        </w:tc>
      </w:tr>
    </w:tbl>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3E0C" w:rsidRDefault="00A53E0C" w:rsidP="00A53E0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A53E0C" w:rsidRDefault="00BC59B0" w:rsidP="00A53E0C"/>
    <w:sectPr w:rsidR="00BC59B0" w:rsidRPr="00A53E0C"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4C" w:rsidRDefault="00E27B4C" w:rsidP="00C0089A">
      <w:pPr>
        <w:pStyle w:val="ConsPlusNormal"/>
      </w:pPr>
      <w:r>
        <w:separator/>
      </w:r>
    </w:p>
  </w:endnote>
  <w:endnote w:type="continuationSeparator" w:id="0">
    <w:p w:rsidR="00E27B4C" w:rsidRDefault="00E27B4C"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4C" w:rsidRDefault="00E27B4C" w:rsidP="00C0089A">
      <w:pPr>
        <w:pStyle w:val="ConsPlusNormal"/>
      </w:pPr>
      <w:r>
        <w:separator/>
      </w:r>
    </w:p>
  </w:footnote>
  <w:footnote w:type="continuationSeparator" w:id="0">
    <w:p w:rsidR="00E27B4C" w:rsidRDefault="00E27B4C"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53E0C">
      <w:rPr>
        <w:rStyle w:val="ab"/>
        <w:noProof/>
      </w:rPr>
      <w:t>9</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7A88"/>
    <w:multiLevelType w:val="multilevel"/>
    <w:tmpl w:val="EC1A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80498D"/>
    <w:multiLevelType w:val="multilevel"/>
    <w:tmpl w:val="F252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4097"/>
    <w:rsid w:val="002A63DD"/>
    <w:rsid w:val="002B5EF8"/>
    <w:rsid w:val="002B7B9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D71B1"/>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5DEA"/>
    <w:rsid w:val="007807CC"/>
    <w:rsid w:val="00783C36"/>
    <w:rsid w:val="00783D71"/>
    <w:rsid w:val="007B29E6"/>
    <w:rsid w:val="007B3E9C"/>
    <w:rsid w:val="007B4687"/>
    <w:rsid w:val="007C59C5"/>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2FF1"/>
    <w:rsid w:val="00983974"/>
    <w:rsid w:val="00987BAA"/>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30EBF"/>
    <w:rsid w:val="00A33E1A"/>
    <w:rsid w:val="00A3590B"/>
    <w:rsid w:val="00A4189D"/>
    <w:rsid w:val="00A53E0C"/>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60CD"/>
    <w:rsid w:val="00BD62F6"/>
    <w:rsid w:val="00BE2F18"/>
    <w:rsid w:val="00C0089A"/>
    <w:rsid w:val="00C235A3"/>
    <w:rsid w:val="00C3112F"/>
    <w:rsid w:val="00C31DBD"/>
    <w:rsid w:val="00C33029"/>
    <w:rsid w:val="00C34607"/>
    <w:rsid w:val="00C34DF3"/>
    <w:rsid w:val="00C56A62"/>
    <w:rsid w:val="00C605E9"/>
    <w:rsid w:val="00C62B46"/>
    <w:rsid w:val="00C67876"/>
    <w:rsid w:val="00C81581"/>
    <w:rsid w:val="00C864FC"/>
    <w:rsid w:val="00C93F99"/>
    <w:rsid w:val="00C9503A"/>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83E08"/>
    <w:rsid w:val="00D91ACC"/>
    <w:rsid w:val="00D92766"/>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27B4C"/>
    <w:rsid w:val="00E3303D"/>
    <w:rsid w:val="00E33B79"/>
    <w:rsid w:val="00E35026"/>
    <w:rsid w:val="00E408D2"/>
    <w:rsid w:val="00E42555"/>
    <w:rsid w:val="00E4602A"/>
    <w:rsid w:val="00E517FF"/>
    <w:rsid w:val="00E60A88"/>
    <w:rsid w:val="00E67D5B"/>
    <w:rsid w:val="00E71776"/>
    <w:rsid w:val="00E80C23"/>
    <w:rsid w:val="00E85186"/>
    <w:rsid w:val="00E867AC"/>
    <w:rsid w:val="00EB25DC"/>
    <w:rsid w:val="00EB4C47"/>
    <w:rsid w:val="00EB50C8"/>
    <w:rsid w:val="00EB557D"/>
    <w:rsid w:val="00EB7594"/>
    <w:rsid w:val="00EB7768"/>
    <w:rsid w:val="00EC4E35"/>
    <w:rsid w:val="00ED6924"/>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A7ABC"/>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5872</TotalTime>
  <Pages>9</Pages>
  <Words>4071</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27222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242</cp:revision>
  <cp:lastPrinted>2020-11-23T12:25:00Z</cp:lastPrinted>
  <dcterms:created xsi:type="dcterms:W3CDTF">2021-02-20T08:58:00Z</dcterms:created>
  <dcterms:modified xsi:type="dcterms:W3CDTF">2025-01-23T14:30:00Z</dcterms:modified>
</cp:coreProperties>
</file>