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B7" w:rsidRDefault="005E73B7" w:rsidP="005E73B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№38 "Об утверждении отчета о реализации муниципальной программы «Развитие субъектов малого и среднего предпринимательства в Косоржанском сельсовете Щигровского района на 2021-2023 годы» за 2023 год"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марта 2024г.                     №38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 муниципальной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субъектов малого и среднего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 в Косоржанском  сельсовете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на 2021-2023 годы» за 2023 год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 Уставом муниципального образования «Косоржанский сельсовет», Администрация Косоржанского сельсовета Щигровского района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1. Утвердить отчет о реализации муниципальной программы «Развитие субъектов малого и среднего предпринимательства в Косоржанском  сельсовете Щигровского района на 2021-2023 годы»  за 2023год согласно приложению.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 Контроль за исполнением постановления оставляю за собой.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обнародования.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                                    Г.Д.Захаров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№38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муницпиальной программы «Развитие субъектов малого и среднего предпринимательства в Косоржанском  сельсовете Щигровского района на 2021-2023 годы</w:t>
      </w:r>
      <w:r>
        <w:rPr>
          <w:rFonts w:ascii="Tahoma" w:hAnsi="Tahoma" w:cs="Tahoma"/>
          <w:color w:val="000000"/>
          <w:sz w:val="18"/>
          <w:szCs w:val="18"/>
        </w:rPr>
        <w:t>»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за 2023г.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 год.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Муниципальная программа Косоржанского сельсовета «Развитие субъектов малого и среднего предпринимательства в Косоржанском  сельсовете Щигровского района на 2021-2023годы» утверждена постановлением Администрации Косоржанского сельсовета от 24.11.2020г. №94.  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Данная программа направлена на достижение следующей цели: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темпов развития малого и среднего предпринимательства,  как одного из факторов социально-</w:t>
      </w:r>
      <w:r>
        <w:rPr>
          <w:rFonts w:ascii="Tahoma" w:hAnsi="Tahoma" w:cs="Tahoma"/>
          <w:color w:val="000000"/>
          <w:sz w:val="18"/>
          <w:szCs w:val="18"/>
        </w:rPr>
        <w:softHyphen/>
        <w:t>экономического развития Косоржанского сельсовета Щигровского района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Задачи программы: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 создание благоприятной среды для развития малого и среднего предпри</w:t>
      </w:r>
      <w:r>
        <w:rPr>
          <w:rFonts w:ascii="Tahoma" w:hAnsi="Tahoma" w:cs="Tahoma"/>
          <w:color w:val="000000"/>
          <w:sz w:val="18"/>
          <w:szCs w:val="18"/>
        </w:rPr>
        <w:softHyphen/>
        <w:t>нимательства;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 активизация субъектов малого и среднего предпринимательства;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научно-аналитическое обеспечение деятельности  субъектов малого и среднего предпринимательства.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поставленных целей и задач в 2023 году в рамках реализации муниципальной программы были достигнуты следующие результаты: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Создана нормативно-правовая основа для развития малого и среднего предпринимательства,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предпринимательства на территории Косоржанского сельсовета, была оказана правовая и консультационная поддержка малому и среднему предпринимательству.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Косоржанского сельсовета, предназначенных для передачи во владение и (или) в пользование субъектам малого и среднего предпринимательства.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Содействие привлечению  субъектов малого и среднего предпринимательства для участия в выставочно-ярмарочной деятельности.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заключаются в 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       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проведенных мероприятий были достигнуты цели муниципальной программы: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создании благоприятной среды, способствующей активизации предпринимательской деятельности, созданию новых рабочих мест и повышении благосостояния вовлеченных в предпринимательство широких слоев населения.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программы  предусмотрено выполнение четырех основных мероприятий.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В 2023 году в установленный срок выполнены основные мероприятия: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  Щигровского района на 2021-2023годы;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1.2.«Информационная, правовая и консультационная поддержка малого и среднего предпринимательства»;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1.3.«Предоставление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предпринимательства»;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помещения»).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официальном сайте Администрации Косоржанского сельсовета размещалась информация об объектах муниципальной собственности, предназначенных для использования субъектам малого и среднего предпринимательства.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фактором, повлиявшим на ход реализации муниципальной программы, является замедление темпов поступления доходов в бюджет Косоржанского сельсовета по отношению к ранее запланированному.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средств на реализацию муниципальной программы в 2023 году за счет средств местного бюджета по плану составил 1000 руб., фактически средства не были израсходованы в силу того, что мероприятия не требовали финансирования.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2023 году было запланировано достижение трех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«Количество мероприятий» составил 3, при плане 3, что является положительным  показателем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Фактический показатель «Количество объектов, предоставленных для совещаний и семинаров» составил 1, при плане 1 , что является положительным  показателем.    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По показателю «Процент информирования» при плане 100 фактический показатель 100, что является положительным  показателем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Эффективность реализации муниципальной программы в 2023 году оценивается на основании следующих критериев:</w:t>
      </w:r>
    </w:p>
    <w:p w:rsidR="005E73B7" w:rsidRDefault="005E73B7" w:rsidP="005E73B7">
      <w:pPr>
        <w:numPr>
          <w:ilvl w:val="0"/>
          <w:numId w:val="39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1 равно 1;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2 равно 1;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(индикатора) 3 равно 1;</w:t>
      </w:r>
    </w:p>
    <w:p w:rsidR="005E73B7" w:rsidRDefault="005E73B7" w:rsidP="005E73B7">
      <w:pPr>
        <w:numPr>
          <w:ilvl w:val="0"/>
          <w:numId w:val="4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 составляет – Э= 1 , что характеризует  высокий уровень  реализации муниципальной программы по степени достижения целевых показателей.</w:t>
      </w:r>
    </w:p>
    <w:p w:rsidR="005E73B7" w:rsidRDefault="005E73B7" w:rsidP="005E73B7">
      <w:pPr>
        <w:numPr>
          <w:ilvl w:val="0"/>
          <w:numId w:val="4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            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значениям- не оценивалась.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Невыполненное  мероприятие -Приобретение и размещение стенда по развитию субъектов малого и среднего предпринимательства на территории Косоржанского сельсовета снизил  показатель эффективности реализации программы. означает, что муниципальная программа реализована в 2023 году с удовлетворительным уровнем эффективности.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  от 18.12.2023 № 33-1-6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 год.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«Развитие субъектов малого и среднего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 в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Косоржанском  сельсовете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на 2021-2023годы»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4037"/>
        <w:gridCol w:w="1970"/>
        <w:gridCol w:w="1552"/>
        <w:gridCol w:w="1389"/>
        <w:gridCol w:w="1404"/>
        <w:gridCol w:w="1683"/>
        <w:gridCol w:w="1598"/>
        <w:gridCol w:w="1686"/>
      </w:tblGrid>
      <w:tr w:rsidR="005E73B7" w:rsidTr="005E73B7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7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3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3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73B7" w:rsidRDefault="005E73B7">
            <w:pPr>
              <w:rPr>
                <w:sz w:val="1"/>
              </w:rPr>
            </w:pPr>
          </w:p>
        </w:tc>
      </w:tr>
    </w:tbl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г.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4256"/>
        <w:gridCol w:w="1922"/>
        <w:gridCol w:w="1469"/>
        <w:gridCol w:w="1299"/>
        <w:gridCol w:w="1398"/>
        <w:gridCol w:w="1862"/>
        <w:gridCol w:w="1862"/>
        <w:gridCol w:w="1638"/>
      </w:tblGrid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Косоржанском  сельсовете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Щигровского района на 2021-2023годы»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Косоржанского сельсовета  Щигровского района на 2021-2023годы;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«Информационная, правовая и консультационная поддержка малого и среднего предпринимательства, размещение информации по развитию субъектов малого и среднего предпринимательства на территории Косоржанского сельсовета (информационный стенд)»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научно-правовое обеспечение деятельности субъектов малого и среднего предпринимательства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отчетный период было издано 4 нормативно правовых актов.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          -</w:t>
            </w: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предпринимательства»;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инфраструктуры поддержки малого и среднего предпринимательства Размещение информации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на сайте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 отчету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«Развитие субъектов малого и среднего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 в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Косоржанском  сельсовете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на 2021-2023годы»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2023г.</w:t>
      </w:r>
    </w:p>
    <w:tbl>
      <w:tblPr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75"/>
        <w:gridCol w:w="2550"/>
        <w:gridCol w:w="1980"/>
        <w:gridCol w:w="1845"/>
        <w:gridCol w:w="1560"/>
      </w:tblGrid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расходов, предусмотренных</w:t>
            </w:r>
            <w:r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Развитие субъектов малого и среднего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предпринимательства в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Косоржанском  сельсовете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Щигровского района на 2021-2023годы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мероприятие1 ««Ведение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</w:t>
            </w:r>
            <w:r>
              <w:rPr>
                <w:sz w:val="18"/>
                <w:szCs w:val="18"/>
              </w:rPr>
              <w:lastRenderedPageBreak/>
              <w:t>предпринимательства на территории Косоржанского сельсовета  Щигровского района на 2021-2023годы»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2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«Информационная, правовая и консультационная поддержка малого и среднего предпринимательства,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по развитию субъектов малого и среднего предпринимательства на территории Косоржанского сельсовета (информационный стенд)»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E73B7" w:rsidTr="005E73B7">
        <w:trPr>
          <w:tblCellSpacing w:w="0" w:type="dxa"/>
        </w:trPr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4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Косоржанского сельсовета Щигровского района под офисы, производственные и складские помещения»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не требует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       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реализации муниципальной программы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«Развитие субъектов малого и среднего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 в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Косоржанском  сельсовете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на 2021-2023годы»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 год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4"/>
        <w:gridCol w:w="4301"/>
        <w:gridCol w:w="1424"/>
        <w:gridCol w:w="1963"/>
        <w:gridCol w:w="1229"/>
        <w:gridCol w:w="1993"/>
        <w:gridCol w:w="3386"/>
      </w:tblGrid>
      <w:tr w:rsidR="005E73B7" w:rsidTr="005E73B7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32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</w:tr>
      <w:tr w:rsidR="005E73B7" w:rsidTr="005E73B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E73B7" w:rsidRDefault="005E73B7">
            <w:pPr>
              <w:rPr>
                <w:sz w:val="18"/>
                <w:szCs w:val="18"/>
              </w:rPr>
            </w:pPr>
          </w:p>
        </w:tc>
      </w:tr>
      <w:tr w:rsidR="005E73B7" w:rsidTr="005E73B7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73B7" w:rsidTr="005E73B7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субъектов малого и среднего предпринимательства в Косоржанском  сельсовете Щигровского района на 2021-2023годы</w:t>
            </w:r>
          </w:p>
        </w:tc>
      </w:tr>
      <w:tr w:rsidR="005E73B7" w:rsidTr="005E73B7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1. Количество мероприятий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5E73B7" w:rsidTr="005E73B7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2. Количество объектов,   предоставленных для совещаний и семинаров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5E73B7" w:rsidTr="005E73B7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 Процент информирования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от планового значения показателя нет</w:t>
            </w:r>
          </w:p>
        </w:tc>
      </w:tr>
      <w:tr w:rsidR="005E73B7" w:rsidTr="005E73B7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73B7" w:rsidRDefault="005E73B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E73B7" w:rsidRDefault="005E73B7" w:rsidP="005E73B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E73B7" w:rsidRDefault="005E73B7" w:rsidP="005E73B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:rsidR="00BC59B0" w:rsidRPr="005E73B7" w:rsidRDefault="00BC59B0" w:rsidP="005E73B7"/>
    <w:sectPr w:rsidR="00BC59B0" w:rsidRPr="005E73B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BC" w:rsidRDefault="00914EBC" w:rsidP="00C0089A">
      <w:pPr>
        <w:pStyle w:val="ConsPlusNormal"/>
      </w:pPr>
      <w:r>
        <w:separator/>
      </w:r>
    </w:p>
  </w:endnote>
  <w:endnote w:type="continuationSeparator" w:id="0">
    <w:p w:rsidR="00914EBC" w:rsidRDefault="00914EB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BC" w:rsidRDefault="00914EBC" w:rsidP="00C0089A">
      <w:pPr>
        <w:pStyle w:val="ConsPlusNormal"/>
      </w:pPr>
      <w:r>
        <w:separator/>
      </w:r>
    </w:p>
  </w:footnote>
  <w:footnote w:type="continuationSeparator" w:id="0">
    <w:p w:rsidR="00914EBC" w:rsidRDefault="00914EB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73B7">
      <w:rPr>
        <w:rStyle w:val="ab"/>
        <w:noProof/>
      </w:rPr>
      <w:t>7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7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6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"/>
  </w:num>
  <w:num w:numId="4">
    <w:abstractNumId w:val="6"/>
  </w:num>
  <w:num w:numId="5">
    <w:abstractNumId w:val="9"/>
  </w:num>
  <w:num w:numId="6">
    <w:abstractNumId w:val="29"/>
  </w:num>
  <w:num w:numId="7">
    <w:abstractNumId w:val="14"/>
  </w:num>
  <w:num w:numId="8">
    <w:abstractNumId w:val="17"/>
  </w:num>
  <w:num w:numId="9">
    <w:abstractNumId w:val="32"/>
  </w:num>
  <w:num w:numId="10">
    <w:abstractNumId w:val="26"/>
  </w:num>
  <w:num w:numId="11">
    <w:abstractNumId w:val="30"/>
  </w:num>
  <w:num w:numId="12">
    <w:abstractNumId w:val="18"/>
  </w:num>
  <w:num w:numId="13">
    <w:abstractNumId w:val="31"/>
  </w:num>
  <w:num w:numId="14">
    <w:abstractNumId w:val="27"/>
  </w:num>
  <w:num w:numId="15">
    <w:abstractNumId w:val="28"/>
  </w:num>
  <w:num w:numId="16">
    <w:abstractNumId w:val="3"/>
  </w:num>
  <w:num w:numId="17">
    <w:abstractNumId w:val="34"/>
  </w:num>
  <w:num w:numId="18">
    <w:abstractNumId w:val="25"/>
  </w:num>
  <w:num w:numId="19">
    <w:abstractNumId w:val="15"/>
  </w:num>
  <w:num w:numId="20">
    <w:abstractNumId w:val="8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36"/>
  </w:num>
  <w:num w:numId="26">
    <w:abstractNumId w:val="39"/>
  </w:num>
  <w:num w:numId="27">
    <w:abstractNumId w:val="22"/>
  </w:num>
  <w:num w:numId="28">
    <w:abstractNumId w:val="23"/>
  </w:num>
  <w:num w:numId="29">
    <w:abstractNumId w:val="24"/>
  </w:num>
  <w:num w:numId="30">
    <w:abstractNumId w:val="11"/>
  </w:num>
  <w:num w:numId="31">
    <w:abstractNumId w:val="13"/>
  </w:num>
  <w:num w:numId="32">
    <w:abstractNumId w:val="33"/>
  </w:num>
  <w:num w:numId="33">
    <w:abstractNumId w:val="37"/>
  </w:num>
  <w:num w:numId="34">
    <w:abstractNumId w:val="7"/>
  </w:num>
  <w:num w:numId="35">
    <w:abstractNumId w:val="40"/>
  </w:num>
  <w:num w:numId="36">
    <w:abstractNumId w:val="10"/>
  </w:num>
  <w:num w:numId="37">
    <w:abstractNumId w:val="38"/>
  </w:num>
  <w:num w:numId="38">
    <w:abstractNumId w:val="5"/>
  </w:num>
  <w:num w:numId="39">
    <w:abstractNumId w:val="4"/>
  </w:num>
  <w:num w:numId="40">
    <w:abstractNumId w:val="19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14EBC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7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16156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116</cp:revision>
  <cp:lastPrinted>2020-11-23T12:25:00Z</cp:lastPrinted>
  <dcterms:created xsi:type="dcterms:W3CDTF">2021-02-20T08:58:00Z</dcterms:created>
  <dcterms:modified xsi:type="dcterms:W3CDTF">2025-01-21T14:18:00Z</dcterms:modified>
</cp:coreProperties>
</file>