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93" w:rsidRPr="003D2957" w:rsidRDefault="00E24D93" w:rsidP="00E24D9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D29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957">
        <w:rPr>
          <w:rFonts w:ascii="Times New Roman" w:hAnsi="Times New Roman" w:cs="Times New Roman"/>
          <w:noProof/>
        </w:rPr>
        <w:drawing>
          <wp:inline distT="0" distB="0" distL="0" distR="0">
            <wp:extent cx="1348740" cy="12954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КОСОРЖАНСКОГО СЕЛЬСОВЕТА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 xml:space="preserve">ЩИГРОВСКОГО РАЙОНА </w:t>
      </w:r>
      <w:proofErr w:type="gramStart"/>
      <w:r w:rsidRPr="003D2957">
        <w:rPr>
          <w:rFonts w:ascii="Times New Roman" w:hAnsi="Times New Roman" w:cs="Times New Roman"/>
          <w:sz w:val="44"/>
          <w:szCs w:val="44"/>
        </w:rPr>
        <w:t>КУРСКОЙ</w:t>
      </w:r>
      <w:proofErr w:type="gramEnd"/>
      <w:r w:rsidRPr="003D295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>ОБЛАСТИ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D2957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3D2957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1F38F5" w:rsidP="00E24D9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78ED">
        <w:rPr>
          <w:rFonts w:ascii="Times New Roman" w:hAnsi="Times New Roman" w:cs="Times New Roman"/>
          <w:sz w:val="28"/>
          <w:szCs w:val="28"/>
        </w:rPr>
        <w:t>т  «1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24D93">
        <w:rPr>
          <w:rFonts w:ascii="Times New Roman" w:hAnsi="Times New Roman" w:cs="Times New Roman"/>
          <w:sz w:val="28"/>
          <w:szCs w:val="28"/>
        </w:rPr>
        <w:t>»</w:t>
      </w:r>
      <w:r w:rsidR="00E24D93" w:rsidRPr="003D2957"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E24D9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4D93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О проведении контролируемых отжигов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сухой травы и мусора на территории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1B78ED" w:rsidRDefault="00E24D93" w:rsidP="001B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8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B78ED" w:rsidRPr="001B7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21 декабря 1994 года №69-ФЗ «О пожарной безопасности», </w:t>
      </w:r>
      <w:r w:rsidR="001B78ED" w:rsidRPr="001B78ED">
        <w:rPr>
          <w:rFonts w:ascii="Times New Roman" w:hAnsi="Times New Roman" w:cs="Times New Roman"/>
          <w:sz w:val="28"/>
          <w:szCs w:val="28"/>
        </w:rPr>
        <w:t>в</w:t>
      </w:r>
      <w:r w:rsidRPr="001B78E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022229" w:rsidRPr="001B78ED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Постановления Правительства РФ от 16 сентября 2020г. №1479 «Об утверждении Правил противопожарного режима в Российской Федерации»</w:t>
      </w:r>
      <w:r w:rsidRPr="001B78ED">
        <w:rPr>
          <w:rFonts w:ascii="Times New Roman" w:hAnsi="Times New Roman" w:cs="Times New Roman"/>
          <w:sz w:val="28"/>
          <w:szCs w:val="28"/>
        </w:rPr>
        <w:t>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</w:t>
      </w:r>
      <w:r w:rsidR="001F38F5">
        <w:rPr>
          <w:rFonts w:ascii="Times New Roman" w:hAnsi="Times New Roman" w:cs="Times New Roman"/>
          <w:sz w:val="28"/>
          <w:szCs w:val="28"/>
        </w:rPr>
        <w:t>5</w:t>
      </w:r>
      <w:r w:rsidRPr="001B78ED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proofErr w:type="gramEnd"/>
      <w:r w:rsidRPr="001B7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1. Провести в период с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F38F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F38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F38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Назначить главу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проведения контролируемых отжигов сухой травы и мусора на подведомственной территории.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4. Провести широкую разъяснительную работу с руководителями учреждений, организаций, КФХ, ИП находящиеся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E24D93" w:rsidRPr="003D2957" w:rsidRDefault="001F38F5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МКУ «ЕДДС </w:t>
      </w:r>
      <w:proofErr w:type="spellStart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6. Постановление вступает в силу после его официального обнародования.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9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Г.Д.Захаров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rPr>
          <w:rFonts w:ascii="Times New Roman" w:hAnsi="Times New Roman" w:cs="Times New Roman"/>
        </w:rPr>
      </w:pPr>
    </w:p>
    <w:p w:rsidR="00124184" w:rsidRDefault="00124184"/>
    <w:p w:rsidR="005830F5" w:rsidRDefault="005830F5"/>
    <w:p w:rsidR="005830F5" w:rsidRDefault="005830F5"/>
    <w:p w:rsidR="005830F5" w:rsidRDefault="005830F5"/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lastRenderedPageBreak/>
        <w:t>Управляемый контролируемый пал — это процесс сжигания мусора и сухой растительности, который проводится в соответствии с определёнными правилами и под надзором граждан.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Для того чтобы провести пал, необходимо следовать определённому алгоритму действий: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- Выбрать безопасное место для проведения палов. Важно убедиться, что огонь не перекинется на здания и лесные массивы.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- Сообщить о месте, времени, силах и средствах, которые будут задействованы в палах, в единую дежурно-диспетчерскую службу (ЕДДС) муниципального образования. Предварительно необходимо согласовать проведение палов с органами надзора.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- Дождаться одобрения погодных условий по данным Росгидромета. В частности, необходимо учесть информацию о ветровых нагрузках и классах пожарной опасности.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После согласования всех деталей через ЕДДС муниципальных образований оформляется заявка, которая направляется в Центр управления в кризисных ситуациях (ЦУКС) для организации контроля.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Место для разведения открытого огня и сжигания мусора на землях населённых пунктов, садовых и дачных участках должно находиться на расстоянии не менее 15 метров от построек. Если использовать металлическую ёмкость из негорючего материала, расстояние можно уменьшить до 7,5 метров.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Лица, проводящие пал, должны быть обеспечены первичными средствами пожаротушения, такими как огнетушители и ранцевые ёмкости с запасом воды. Также необходимо привлечь тяжёлую сельскохозяйственную технику и технику, предназначенную для тушения пожаров.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Необходимо назначить ответственных за организацию и проведение палов, которые должны быть обеспечены средствами связи.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Существуют определённые ограничения для проведения палов: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- нельзя проводить пал на торфяных почвах;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- пал запрещён в период особого противопожарного режима на соответствующей территории;</w:t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br/>
      </w:r>
    </w:p>
    <w:p w:rsidR="005830F5" w:rsidRPr="005830F5" w:rsidRDefault="005830F5" w:rsidP="005830F5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15"/>
          <w:szCs w:val="15"/>
        </w:rPr>
      </w:pPr>
      <w:r w:rsidRPr="005830F5">
        <w:rPr>
          <w:rFonts w:ascii="Arial" w:eastAsia="Times New Roman" w:hAnsi="Arial" w:cs="Arial"/>
          <w:color w:val="5C5C5C"/>
          <w:sz w:val="15"/>
          <w:szCs w:val="15"/>
        </w:rPr>
        <w:t>- пал не проводится при наличии информации о сильном порывистом ветре.</w:t>
      </w:r>
    </w:p>
    <w:p w:rsidR="005830F5" w:rsidRDefault="005830F5"/>
    <w:p w:rsidR="005830F5" w:rsidRDefault="005830F5"/>
    <w:p w:rsidR="005830F5" w:rsidRDefault="005830F5"/>
    <w:p w:rsidR="005830F5" w:rsidRDefault="005830F5"/>
    <w:p w:rsidR="005830F5" w:rsidRDefault="005830F5"/>
    <w:sectPr w:rsidR="005830F5" w:rsidSect="0042177D">
      <w:footnotePr>
        <w:pos w:val="beneathText"/>
      </w:footnotePr>
      <w:pgSz w:w="12240" w:h="15840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24D93"/>
    <w:rsid w:val="00022229"/>
    <w:rsid w:val="00124184"/>
    <w:rsid w:val="001B78ED"/>
    <w:rsid w:val="001F38F5"/>
    <w:rsid w:val="00546F34"/>
    <w:rsid w:val="005830F5"/>
    <w:rsid w:val="00840A1D"/>
    <w:rsid w:val="00E24D93"/>
    <w:rsid w:val="00F46E08"/>
    <w:rsid w:val="00F5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6</cp:revision>
  <cp:lastPrinted>2024-03-25T10:06:00Z</cp:lastPrinted>
  <dcterms:created xsi:type="dcterms:W3CDTF">2023-04-03T06:15:00Z</dcterms:created>
  <dcterms:modified xsi:type="dcterms:W3CDTF">2025-03-10T11:42:00Z</dcterms:modified>
</cp:coreProperties>
</file>