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8B" w:rsidRDefault="00FF4D8B" w:rsidP="00FF4D8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«24» апреля 2020 года № 67-2-6 "Об утверждении порядка проведения публичных слушаний по проекту решения «Об утверждении отчета об исполнении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за 2019 год»"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апреля 2020 года                  № 67-2-6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порядка проведения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публичных слушаний по проекту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решения «Об утверждении отчета </w:t>
      </w:r>
      <w:proofErr w:type="gramStart"/>
      <w:r>
        <w:rPr>
          <w:color w:val="000000"/>
          <w:sz w:val="27"/>
          <w:szCs w:val="27"/>
        </w:rPr>
        <w:t>об</w:t>
      </w:r>
      <w:proofErr w:type="gramEnd"/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исполнении</w:t>
      </w:r>
      <w:proofErr w:type="gramEnd"/>
      <w:r>
        <w:rPr>
          <w:color w:val="000000"/>
          <w:sz w:val="27"/>
          <w:szCs w:val="27"/>
        </w:rPr>
        <w:t xml:space="preserve"> бюджета муниципального образования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 за 2019 год»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 В соответствии с Федеральным законом «Об общих принципах организации местного самоуправления в Российской Федерации», </w:t>
      </w:r>
      <w:proofErr w:type="gramStart"/>
      <w:r>
        <w:rPr>
          <w:color w:val="000000"/>
          <w:sz w:val="27"/>
          <w:szCs w:val="27"/>
        </w:rPr>
        <w:t>согласно Устава</w:t>
      </w:r>
      <w:proofErr w:type="gramEnd"/>
      <w:r>
        <w:rPr>
          <w:color w:val="000000"/>
          <w:sz w:val="27"/>
          <w:szCs w:val="27"/>
        </w:rPr>
        <w:t xml:space="preserve">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F4D8B" w:rsidRDefault="00FF4D8B" w:rsidP="00FF4D8B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Решило: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1. Утвердить Порядок проведения публичных слушаний по проекту решения «Об утверждении отчета об исполнении  бюджета 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за 2019 год»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2. Настоящее решение вступает в силу с момента его подписания.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                             Т.В.Терехова.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>
        <w:rPr>
          <w:color w:val="000000"/>
          <w:sz w:val="27"/>
          <w:szCs w:val="27"/>
        </w:rPr>
        <w:t>лавы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                            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      </w:t>
      </w:r>
      <w:proofErr w:type="spellStart"/>
      <w:r>
        <w:rPr>
          <w:color w:val="000000"/>
          <w:sz w:val="27"/>
          <w:szCs w:val="27"/>
        </w:rPr>
        <w:t>Н.В.Браткова</w:t>
      </w:r>
      <w:proofErr w:type="spellEnd"/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4D8B" w:rsidRDefault="00FF4D8B" w:rsidP="00FF4D8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                                                      УТВЕРЖДЁН</w:t>
      </w:r>
    </w:p>
    <w:p w:rsidR="00FF4D8B" w:rsidRDefault="00FF4D8B" w:rsidP="00FF4D8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 Решением Собрания депутатов</w:t>
      </w:r>
    </w:p>
    <w:p w:rsidR="00FF4D8B" w:rsidRDefault="00FF4D8B" w:rsidP="00FF4D8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             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F4D8B" w:rsidRDefault="00FF4D8B" w:rsidP="00FF4D8B">
      <w:pPr>
        <w:pStyle w:val="ac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FF4D8B" w:rsidRDefault="00FF4D8B" w:rsidP="00FF4D8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апреля 2020 года № 67-2-6</w:t>
      </w:r>
    </w:p>
    <w:p w:rsidR="00FF4D8B" w:rsidRDefault="00FF4D8B" w:rsidP="00FF4D8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4D8B" w:rsidRDefault="00FF4D8B" w:rsidP="00FF4D8B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ПОРЯДОК</w:t>
      </w:r>
    </w:p>
    <w:p w:rsidR="00FF4D8B" w:rsidRDefault="00FF4D8B" w:rsidP="00FF4D8B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проведения публичных слушаний по проекту решения</w:t>
      </w:r>
    </w:p>
    <w:p w:rsidR="00FF4D8B" w:rsidRDefault="00FF4D8B" w:rsidP="00FF4D8B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«Об утверждении отчета об исполнении бюджета муниципального образования «</w:t>
      </w:r>
      <w:proofErr w:type="spellStart"/>
      <w:r>
        <w:rPr>
          <w:rStyle w:val="ad"/>
          <w:color w:val="000000"/>
          <w:sz w:val="27"/>
          <w:szCs w:val="27"/>
        </w:rPr>
        <w:t>Косоржанский</w:t>
      </w:r>
      <w:proofErr w:type="spellEnd"/>
      <w:r>
        <w:rPr>
          <w:rStyle w:val="ad"/>
          <w:color w:val="000000"/>
          <w:sz w:val="27"/>
          <w:szCs w:val="27"/>
        </w:rPr>
        <w:t xml:space="preserve"> сельсовет»</w:t>
      </w:r>
    </w:p>
    <w:p w:rsidR="00FF4D8B" w:rsidRDefault="00FF4D8B" w:rsidP="00FF4D8B">
      <w:pPr>
        <w:pStyle w:val="ac"/>
        <w:jc w:val="center"/>
        <w:rPr>
          <w:color w:val="000000"/>
          <w:sz w:val="27"/>
          <w:szCs w:val="27"/>
        </w:rPr>
      </w:pPr>
      <w:proofErr w:type="spellStart"/>
      <w:r>
        <w:rPr>
          <w:rStyle w:val="ad"/>
          <w:color w:val="000000"/>
          <w:sz w:val="27"/>
          <w:szCs w:val="27"/>
        </w:rPr>
        <w:t>Щигровского</w:t>
      </w:r>
      <w:proofErr w:type="spellEnd"/>
      <w:r>
        <w:rPr>
          <w:rStyle w:val="ad"/>
          <w:color w:val="000000"/>
          <w:sz w:val="27"/>
          <w:szCs w:val="27"/>
        </w:rPr>
        <w:t xml:space="preserve"> района Курской области за 2019год»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слушаний, </w:t>
      </w:r>
      <w:proofErr w:type="gramStart"/>
      <w:r>
        <w:rPr>
          <w:color w:val="000000"/>
          <w:sz w:val="27"/>
          <w:szCs w:val="27"/>
        </w:rPr>
        <w:t>согласно Устава</w:t>
      </w:r>
      <w:proofErr w:type="gramEnd"/>
      <w:r>
        <w:rPr>
          <w:color w:val="000000"/>
          <w:sz w:val="27"/>
          <w:szCs w:val="27"/>
        </w:rPr>
        <w:t xml:space="preserve">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Публичные слушания по проекту исполнения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Обсуждение проекта исполнения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на публичных слушаниях призвано на основе широкой гласности, сопоставления и изучения </w:t>
      </w:r>
      <w:r>
        <w:rPr>
          <w:color w:val="000000"/>
          <w:sz w:val="27"/>
          <w:szCs w:val="27"/>
        </w:rPr>
        <w:lastRenderedPageBreak/>
        <w:t>различных мнений способствовать выработке конструктивных предложений по проекту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3.  Решение о проведении публичных слушаний должно приниматься не </w:t>
      </w:r>
      <w:proofErr w:type="gramStart"/>
      <w:r>
        <w:rPr>
          <w:color w:val="000000"/>
          <w:sz w:val="27"/>
          <w:szCs w:val="27"/>
        </w:rPr>
        <w:t>позднее</w:t>
      </w:r>
      <w:proofErr w:type="gramEnd"/>
      <w:r>
        <w:rPr>
          <w:color w:val="000000"/>
          <w:sz w:val="27"/>
          <w:szCs w:val="27"/>
        </w:rPr>
        <w:t xml:space="preserve"> чем  за 20 дней до даты рассмотрения Главой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области, Собранием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 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проекта  исполнения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Решение о проведении публичных слушаний и проект исполнения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в первом чтении подлежат обнародованию не позднее, чем за 7 дней до проведения слушаний.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Публичные слушания проводятся не позже чем за 7 дней до дня рассмотрения проекта исполнения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во втором, окончательном чтении.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Решение о назначении публичных слушаний должно быть обнародовано совместно с проектом исполнения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области, выносимого на публичные слушания не позднее чем через 5 дней после их принятия.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Протокол публичных слушаний и рекомендаций (после слушаний) направляются Собранию депутатов не позднее чем через 5 дней после слушаний.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Председательствующим на публичных слушаниях является Председатель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Председательствующий ведёт публичные слушания и следит за порядком обсуждения вопросов повестки публичных слушаний. В ходе публичных слушаний ведётся протокол.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10.Публичные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color w:val="000000"/>
          <w:sz w:val="27"/>
          <w:szCs w:val="27"/>
        </w:rPr>
        <w:t>Затем следуют публичные слушания по проекту исполнения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области, после чего обсуждаются публичные слушания, задаются вопросы: как в устной, так и в письменной формах.    </w:t>
      </w:r>
      <w:proofErr w:type="gramEnd"/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По результатам публичных слушаний принимаются рекомендации по проекту исполнения бюджета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района</w:t>
      </w:r>
      <w:proofErr w:type="gramEnd"/>
      <w:r>
        <w:rPr>
          <w:color w:val="000000"/>
          <w:sz w:val="27"/>
          <w:szCs w:val="27"/>
        </w:rPr>
        <w:t xml:space="preserve"> и подлежат обнародованию.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района.</w:t>
      </w:r>
    </w:p>
    <w:p w:rsidR="00FF4D8B" w:rsidRDefault="00FF4D8B" w:rsidP="00FF4D8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FF4D8B" w:rsidRDefault="00BC59B0" w:rsidP="00FF4D8B"/>
    <w:sectPr w:rsidR="00BC59B0" w:rsidRPr="00FF4D8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D2" w:rsidRDefault="000C4ED2" w:rsidP="00C0089A">
      <w:pPr>
        <w:pStyle w:val="ConsPlusNormal"/>
      </w:pPr>
      <w:r>
        <w:separator/>
      </w:r>
    </w:p>
  </w:endnote>
  <w:endnote w:type="continuationSeparator" w:id="0">
    <w:p w:rsidR="000C4ED2" w:rsidRDefault="000C4ED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D2" w:rsidRDefault="000C4ED2" w:rsidP="00C0089A">
      <w:pPr>
        <w:pStyle w:val="ConsPlusNormal"/>
      </w:pPr>
      <w:r>
        <w:separator/>
      </w:r>
    </w:p>
  </w:footnote>
  <w:footnote w:type="continuationSeparator" w:id="0">
    <w:p w:rsidR="000C4ED2" w:rsidRDefault="000C4ED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4D8B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C4ED2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5900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30</cp:revision>
  <cp:lastPrinted>2020-11-23T12:25:00Z</cp:lastPrinted>
  <dcterms:created xsi:type="dcterms:W3CDTF">2021-02-20T08:58:00Z</dcterms:created>
  <dcterms:modified xsi:type="dcterms:W3CDTF">2025-01-19T13:03:00Z</dcterms:modified>
</cp:coreProperties>
</file>