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E3" w:rsidRDefault="00305AE3" w:rsidP="00305AE3">
      <w:pPr>
        <w:pStyle w:val="Standard"/>
        <w:spacing w:after="0" w:line="240" w:lineRule="auto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52159" cy="129636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159" cy="1296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</w:rPr>
        <w:t>СОБРАНИЕ ДЕПУТАТОВ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</w:rPr>
        <w:t>КОСОРЖАНСКОГО СЕЛЬСОВЕТА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r>
        <w:rPr>
          <w:rFonts w:ascii="Times New Roman" w:hAnsi="Times New Roman" w:cs="Times New Roman"/>
          <w:color w:val="00000A"/>
          <w:sz w:val="44"/>
          <w:szCs w:val="44"/>
        </w:rPr>
        <w:t>ЩИГРОВСКОГО РАЙОНА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r>
        <w:rPr>
          <w:rFonts w:ascii="Times New Roman" w:hAnsi="Times New Roman" w:cs="Times New Roman"/>
          <w:color w:val="00000A"/>
          <w:sz w:val="44"/>
          <w:szCs w:val="44"/>
        </w:rPr>
        <w:t>КУРСКОЙ ОБЛАСТИ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proofErr w:type="gramStart"/>
      <w:r>
        <w:rPr>
          <w:rFonts w:ascii="Times New Roman" w:hAnsi="Times New Roman" w:cs="Times New Roman"/>
          <w:color w:val="00000A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color w:val="00000A"/>
          <w:sz w:val="44"/>
          <w:szCs w:val="44"/>
        </w:rPr>
        <w:t xml:space="preserve"> Е Ш Е Н И Е</w:t>
      </w:r>
    </w:p>
    <w:p w:rsidR="00305AE3" w:rsidRDefault="00305AE3" w:rsidP="00305AE3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left="283" w:hanging="28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</w:t>
      </w:r>
    </w:p>
    <w:p w:rsidR="00305AE3" w:rsidRDefault="00305AE3" w:rsidP="00305AE3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от «  » декабря 2024года  № ___</w:t>
      </w:r>
    </w:p>
    <w:p w:rsidR="00305AE3" w:rsidRDefault="00305AE3" w:rsidP="00305AE3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 бюджете муниципального образования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2025год и плановый</w:t>
      </w:r>
    </w:p>
    <w:p w:rsidR="00305AE3" w:rsidRDefault="00305AE3" w:rsidP="00305AE3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период 2026 и 2027годов»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A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A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A"/>
        </w:rPr>
        <w:t xml:space="preserve">         </w:t>
      </w:r>
      <w:r>
        <w:rPr>
          <w:rFonts w:ascii="Times New Roman" w:hAnsi="Times New Roman" w:cs="Times New Roman"/>
          <w:color w:val="00000A"/>
        </w:rPr>
        <w:t>1. Утвердить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2025год: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A"/>
        </w:rPr>
        <w:t>прогнозируемый общий объем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в сумме 2284,4054</w:t>
      </w:r>
      <w:r>
        <w:t xml:space="preserve">  </w:t>
      </w:r>
      <w:r>
        <w:rPr>
          <w:rFonts w:ascii="Times New Roman" w:hAnsi="Times New Roman" w:cs="Times New Roman"/>
          <w:color w:val="00000A"/>
        </w:rPr>
        <w:t>тыс. рублей;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общий объем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в сумме 2284,4054 тыс. рублей.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A"/>
        </w:rPr>
        <w:t>Дефицит (</w:t>
      </w:r>
      <w:proofErr w:type="spellStart"/>
      <w:r>
        <w:rPr>
          <w:rFonts w:ascii="Times New Roman" w:hAnsi="Times New Roman" w:cs="Times New Roman"/>
          <w:color w:val="00000A"/>
        </w:rPr>
        <w:t>профицит</w:t>
      </w:r>
      <w:proofErr w:type="spellEnd"/>
      <w:r>
        <w:rPr>
          <w:rFonts w:ascii="Times New Roman" w:hAnsi="Times New Roman" w:cs="Times New Roman"/>
          <w:color w:val="00000A"/>
        </w:rPr>
        <w:t>) бюджета муниципального образования в  сумме  -</w:t>
      </w:r>
      <w:r>
        <w:rPr>
          <w:rFonts w:ascii="Times New Roman" w:hAnsi="Times New Roman" w:cs="Times New Roman"/>
          <w:bCs/>
          <w:color w:val="00000A"/>
        </w:rPr>
        <w:t>0</w:t>
      </w:r>
      <w:r>
        <w:rPr>
          <w:rFonts w:ascii="Times New Roman" w:hAnsi="Times New Roman" w:cs="Times New Roman"/>
          <w:color w:val="00000A"/>
        </w:rPr>
        <w:t xml:space="preserve"> рублей  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2. Утвердить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  на плановый период 2026 и 2027 годы: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прогнозируемый общий объем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  на 2026 год в  сумме 1933,822  тыс. рублей,  на 2027год в сумме 1934,222 тыс. рублей;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общий объем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2026год в сумме  1933,822  тыс. рублей, в том числе условно-утвержденные расходы  44,07 тыс</w:t>
      </w:r>
      <w:proofErr w:type="gramStart"/>
      <w:r>
        <w:rPr>
          <w:rFonts w:ascii="Times New Roman" w:hAnsi="Times New Roman" w:cs="Times New Roman"/>
          <w:color w:val="00000A"/>
        </w:rPr>
        <w:t xml:space="preserve">.. </w:t>
      </w:r>
      <w:proofErr w:type="gramEnd"/>
      <w:r>
        <w:rPr>
          <w:rFonts w:ascii="Times New Roman" w:hAnsi="Times New Roman" w:cs="Times New Roman"/>
          <w:color w:val="00000A"/>
        </w:rPr>
        <w:t>рублей. Дефицит (</w:t>
      </w:r>
      <w:proofErr w:type="spellStart"/>
      <w:r>
        <w:rPr>
          <w:rFonts w:ascii="Times New Roman" w:hAnsi="Times New Roman" w:cs="Times New Roman"/>
          <w:color w:val="00000A"/>
        </w:rPr>
        <w:t>профицит</w:t>
      </w:r>
      <w:proofErr w:type="spellEnd"/>
      <w:r>
        <w:rPr>
          <w:rFonts w:ascii="Times New Roman" w:hAnsi="Times New Roman" w:cs="Times New Roman"/>
          <w:color w:val="00000A"/>
        </w:rPr>
        <w:t>) бюджета муниципального образования  в  сумме  0 рублей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общий объем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2027год в  сумме  1934,222тыс. рублей, в том числе условно-утвержденные расходы  87,85 тыс. рублей. Дефицит (</w:t>
      </w:r>
      <w:proofErr w:type="spellStart"/>
      <w:r>
        <w:rPr>
          <w:rFonts w:ascii="Times New Roman" w:hAnsi="Times New Roman" w:cs="Times New Roman"/>
          <w:color w:val="00000A"/>
        </w:rPr>
        <w:t>профицит</w:t>
      </w:r>
      <w:proofErr w:type="spellEnd"/>
      <w:r>
        <w:rPr>
          <w:rFonts w:ascii="Times New Roman" w:hAnsi="Times New Roman" w:cs="Times New Roman"/>
          <w:color w:val="00000A"/>
        </w:rPr>
        <w:t>) бюджета муниципального образования  в сумме  0 рублей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             Статья 2. 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 Курской области</w:t>
      </w:r>
    </w:p>
    <w:p w:rsidR="00305AE3" w:rsidRDefault="00305AE3" w:rsidP="00305AE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>Утвердить источники финансирования дефицита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2025 год согласно приложению №1, и на  плановый период 2026 и 2027 года согласно приложению № 2  к настоящему Решению.</w:t>
      </w:r>
    </w:p>
    <w:p w:rsidR="00305AE3" w:rsidRDefault="00305AE3" w:rsidP="00305AE3">
      <w:pPr>
        <w:pStyle w:val="Standard"/>
        <w:spacing w:after="0" w:line="240" w:lineRule="auto"/>
        <w:ind w:right="791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aa"/>
        <w:ind w:right="7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Статья 3. Прогнозируемое поступление доходов в бюджет 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района Курской области</w:t>
      </w:r>
    </w:p>
    <w:p w:rsidR="00305AE3" w:rsidRDefault="00305AE3" w:rsidP="00305AE3">
      <w:pPr>
        <w:pStyle w:val="aa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05AE3" w:rsidRDefault="00305AE3" w:rsidP="00305A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1. Утвердить прогнозируемое поступление доходов в бюджет муниципального образования "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сельсовет"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в 2025 году согласно приложению  № 3;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на плановый период 2026и 2027 года согласно приложению № 4</w:t>
      </w:r>
      <w:r>
        <w:rPr>
          <w:rFonts w:ascii="Times New Roman" w:hAnsi="Times New Roman" w:cs="Times New Roman"/>
          <w:color w:val="3366FF"/>
        </w:rPr>
        <w:t xml:space="preserve"> </w:t>
      </w:r>
      <w:r>
        <w:rPr>
          <w:rFonts w:ascii="Times New Roman" w:hAnsi="Times New Roman" w:cs="Times New Roman"/>
        </w:rPr>
        <w:t>к настоящему Решению.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right="611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2025году и на плановый период 2026 и 2027годов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1. Установить, что средства, поступающие получателям бюджетных сре</w:t>
      </w:r>
      <w:proofErr w:type="gramStart"/>
      <w:r>
        <w:rPr>
          <w:rFonts w:ascii="Times New Roman" w:hAnsi="Times New Roman" w:cs="Times New Roman"/>
          <w:color w:val="00000A"/>
        </w:rPr>
        <w:t>дств в п</w:t>
      </w:r>
      <w:proofErr w:type="gramEnd"/>
      <w:r>
        <w:rPr>
          <w:rFonts w:ascii="Times New Roman" w:hAnsi="Times New Roman" w:cs="Times New Roman"/>
          <w:color w:val="00000A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области.</w:t>
      </w:r>
    </w:p>
    <w:p w:rsidR="00305AE3" w:rsidRDefault="00305AE3" w:rsidP="00305AE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A"/>
        </w:rPr>
        <w:t>Статья</w:t>
      </w:r>
      <w:r>
        <w:rPr>
          <w:rFonts w:ascii="Times New Roman" w:hAnsi="Times New Roman" w:cs="Times New Roman"/>
          <w:b/>
          <w:bCs/>
          <w:caps/>
          <w:color w:val="00000A"/>
        </w:rPr>
        <w:t xml:space="preserve"> 5. </w:t>
      </w:r>
      <w:r>
        <w:rPr>
          <w:rFonts w:ascii="Times New Roman" w:hAnsi="Times New Roman" w:cs="Times New Roman"/>
          <w:b/>
          <w:bCs/>
          <w:color w:val="00000A"/>
        </w:rPr>
        <w:t>Бюджетные ассигнования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Курской области   на 2025 год и плановый период 2026 и 2027годов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color w:val="00000A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2025 год согласно приложению № 5 к настоящему Решению;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плановый период 2026 и 2027 годов согласно приложению № 6 к настоящему Решению.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2. Утвердить ведомственную структуру расходов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области: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2025 год согласно приложению № 7 к настоящему Решению;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плановый период 2026и 2027годов согласно приложению № 8 к настоящему Решению.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3. 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color w:val="00000A"/>
        </w:rPr>
        <w:t xml:space="preserve"> направлениям деятельности), группам (подгруппам) видов расходов: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2025год согласно приложению № 9 к настоящему решению.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proofErr w:type="gramStart"/>
      <w:r>
        <w:rPr>
          <w:rFonts w:ascii="Times New Roman" w:hAnsi="Times New Roman" w:cs="Times New Roman"/>
          <w:color w:val="00000A"/>
        </w:rPr>
        <w:t>н</w:t>
      </w:r>
      <w:proofErr w:type="gramEnd"/>
      <w:r>
        <w:rPr>
          <w:rFonts w:ascii="Times New Roman" w:hAnsi="Times New Roman" w:cs="Times New Roman"/>
          <w:color w:val="00000A"/>
        </w:rPr>
        <w:t>а плановый период 2026 и 2027 годов согласно приложению № 1 к настоящему решению.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4. Утвердить величину резервного фонда Администрации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на 2025 год  в сумме 364,453  тыс. рублей и на плановый период 2026 и 2027 годов в сумме    2   тыс. рублей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Статья 6. Особенности исполнения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в 2025году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A"/>
        </w:rPr>
        <w:t xml:space="preserve">1. </w:t>
      </w:r>
      <w:proofErr w:type="gramStart"/>
      <w:r>
        <w:rPr>
          <w:rFonts w:ascii="Times New Roman" w:hAnsi="Times New Roman" w:cs="Times New Roman"/>
          <w:color w:val="00000A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вправе принимать решения  и вносить в 2025году изменения в показатели сводной бюджетной росписи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</w:t>
      </w:r>
      <w:r>
        <w:rPr>
          <w:rFonts w:ascii="Times New Roman" w:hAnsi="Times New Roman" w:cs="Times New Roman"/>
          <w:color w:val="00000A"/>
        </w:rPr>
        <w:lastRenderedPageBreak/>
        <w:t>депутатов</w:t>
      </w:r>
      <w:proofErr w:type="gramEnd"/>
      <w:r>
        <w:rPr>
          <w:rFonts w:ascii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о внесенных изменениях в случаях: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1) реорганизации, преобразования и изменения типа муниципальных учреждений;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proofErr w:type="gramStart"/>
      <w:r>
        <w:rPr>
          <w:rFonts w:ascii="Times New Roman" w:hAnsi="Times New Roman" w:cs="Times New Roman"/>
          <w:color w:val="00000A"/>
        </w:rPr>
        <w:t>2) перераспределения по  получателям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3) сокращения межбюджетных трансфертов из областного бюджета и бюджета муниципального района;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4) исполнения судебных актов в объемах, превышающих ассигнования, утвержденные решением о бюджете на эти цели;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5) изменений и (или) уточнений бюджетной классификации Министерства финансов Российской Федерации;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proofErr w:type="gramStart"/>
      <w:r>
        <w:rPr>
          <w:rFonts w:ascii="Times New Roman" w:hAnsi="Times New Roman" w:cs="Times New Roman"/>
          <w:color w:val="00000A"/>
        </w:rPr>
        <w:t>6)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proofErr w:type="gram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в случае  принятия Главой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решений о сокращении численности этих работников.</w:t>
      </w:r>
    </w:p>
    <w:p w:rsidR="00305AE3" w:rsidRDefault="00305AE3" w:rsidP="00305AE3">
      <w:pPr>
        <w:pStyle w:val="Standard"/>
        <w:spacing w:after="0" w:line="240" w:lineRule="auto"/>
        <w:ind w:firstLine="55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2. Установить, что в 2025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305AE3" w:rsidRDefault="00305AE3" w:rsidP="00305AE3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3. Установить, что получатель средств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Курской области вправе предусматривать авансовые платежи:</w:t>
      </w:r>
    </w:p>
    <w:p w:rsidR="00305AE3" w:rsidRDefault="00305AE3" w:rsidP="00305AE3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при заключении договоров (муниципальных контрактов</w:t>
      </w:r>
      <w:proofErr w:type="gramStart"/>
      <w:r>
        <w:rPr>
          <w:rFonts w:ascii="Times New Roman" w:hAnsi="Times New Roman" w:cs="Times New Roman"/>
          <w:color w:val="00000A"/>
        </w:rPr>
        <w:t>)н</w:t>
      </w:r>
      <w:proofErr w:type="gramEnd"/>
      <w:r>
        <w:rPr>
          <w:rFonts w:ascii="Times New Roman" w:hAnsi="Times New Roman" w:cs="Times New Roman"/>
          <w:color w:val="00000A"/>
        </w:rPr>
        <w:t>а поставку товаров (работ, услуг) в размерах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а) 100 процентов суммы договора (муниципального контракта) - по договорам (контрактам):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Times New Roman" w:hAnsi="Times New Roman" w:cs="Times New Roman"/>
          <w:color w:val="00000A"/>
        </w:rPr>
        <w:t>а-</w:t>
      </w:r>
      <w:proofErr w:type="gramEnd"/>
      <w:r>
        <w:rPr>
          <w:rFonts w:ascii="Times New Roman" w:hAnsi="Times New Roman" w:cs="Times New Roman"/>
          <w:color w:val="00000A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Times New Roman" w:hAnsi="Times New Roman" w:cs="Times New Roman"/>
          <w:color w:val="00000A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" w:hAnsi="Times New Roman" w:cs="Times New Roman"/>
          <w:color w:val="00000A"/>
        </w:rPr>
        <w:t xml:space="preserve"> строительства, финансовое обеспечение строительства;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305AE3" w:rsidRDefault="00305AE3" w:rsidP="00305AE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</w:rPr>
      </w:pPr>
      <w:proofErr w:type="gramStart"/>
      <w:r>
        <w:rPr>
          <w:rFonts w:ascii="Times New Roman" w:hAnsi="Times New Roman" w:cs="Times New Roman"/>
          <w:color w:val="00000A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305AE3" w:rsidRDefault="00305AE3" w:rsidP="00305AE3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right="791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1.Администрация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не вправе принимать </w:t>
      </w:r>
      <w:proofErr w:type="gramStart"/>
      <w:r>
        <w:rPr>
          <w:rFonts w:ascii="Times New Roman" w:hAnsi="Times New Roman" w:cs="Times New Roman"/>
          <w:color w:val="00000A"/>
        </w:rPr>
        <w:t xml:space="preserve">решения, приводящие к увеличению в 2025 году численности муниципальных  служащих Администрации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и работни</w:t>
      </w:r>
      <w:proofErr w:type="gramEnd"/>
      <w:r>
        <w:rPr>
          <w:rFonts w:ascii="Times New Roman" w:hAnsi="Times New Roman" w:cs="Times New Roman"/>
          <w:color w:val="00000A"/>
        </w:rPr>
        <w:t>, а также расходов на их содержание.</w:t>
      </w:r>
    </w:p>
    <w:p w:rsidR="00305AE3" w:rsidRDefault="00305AE3" w:rsidP="00305AE3">
      <w:pPr>
        <w:pStyle w:val="Standard"/>
        <w:spacing w:after="0" w:line="240" w:lineRule="auto"/>
        <w:ind w:right="971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left="2160" w:right="971" w:hanging="144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Статья 8. Осуществление расходов, не предусмотренных бюджетом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00000A"/>
        </w:rPr>
        <w:t>При принятии решения либо другого нормативно - правового акта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2. </w:t>
      </w:r>
      <w:proofErr w:type="gramStart"/>
      <w:r>
        <w:rPr>
          <w:rFonts w:ascii="Times New Roman" w:hAnsi="Times New Roman" w:cs="Times New Roman"/>
          <w:color w:val="00000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Times New Roman" w:hAnsi="Times New Roman" w:cs="Times New Roman"/>
          <w:color w:val="00000A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</w:rPr>
        <w:t>сокращении</w:t>
      </w:r>
      <w:proofErr w:type="gramEnd"/>
      <w:r>
        <w:rPr>
          <w:rFonts w:ascii="Times New Roman" w:hAnsi="Times New Roman" w:cs="Times New Roman"/>
          <w:color w:val="00000A"/>
        </w:rPr>
        <w:t xml:space="preserve"> бюджетных ассигнований по отдельным статьям расходов бюджета.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Статья 9. Муниципальный долг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</w:rPr>
        <w:t xml:space="preserve">       1. Объем муниципального долга муниципального образования "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сельсовет"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при осуществлении заимствований не должен превышать следующие значения:  в 2025 году   717,386  </w:t>
      </w:r>
      <w:r>
        <w:rPr>
          <w:rFonts w:ascii="Times New Roman" w:hAnsi="Times New Roman" w:cs="Times New Roman"/>
          <w:color w:val="000000"/>
        </w:rPr>
        <w:t>тыс</w:t>
      </w:r>
      <w:r>
        <w:rPr>
          <w:rFonts w:ascii="Times New Roman" w:hAnsi="Times New Roman" w:cs="Times New Roman"/>
        </w:rPr>
        <w:t xml:space="preserve">. рублей, в 2026году 724,797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,в</w:t>
      </w:r>
      <w:proofErr w:type="spellEnd"/>
      <w:proofErr w:type="gramEnd"/>
      <w:r>
        <w:rPr>
          <w:rFonts w:ascii="Times New Roman" w:hAnsi="Times New Roman" w:cs="Times New Roman"/>
        </w:rPr>
        <w:t xml:space="preserve"> 2027 году  731,089тыс. рублей.</w:t>
      </w:r>
    </w:p>
    <w:p w:rsidR="00305AE3" w:rsidRDefault="00305AE3" w:rsidP="00305AE3">
      <w:pPr>
        <w:pStyle w:val="Standard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Установить предельный объем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Курской области  на 2025 год в сумме 0.0 тыс. рублей, на 2026год в сумме 0.0 тыс. рублей, на 2027год в сумме  0.0 тыс. рублей.</w:t>
      </w:r>
    </w:p>
    <w:p w:rsidR="00305AE3" w:rsidRDefault="00305AE3" w:rsidP="00305AE3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3. Установить верхний предел  муниципального внутреннего долга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1 января 2028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305AE3" w:rsidRDefault="00305AE3" w:rsidP="00305AE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</w:rPr>
        <w:t>4</w:t>
      </w:r>
      <w:proofErr w:type="gramStart"/>
      <w:r>
        <w:rPr>
          <w:rFonts w:ascii="Times New Roman" w:hAnsi="Times New Roman" w:cs="Times New Roman"/>
          <w:color w:val="00000A"/>
        </w:rPr>
        <w:t xml:space="preserve"> У</w:t>
      </w:r>
      <w:proofErr w:type="gramEnd"/>
      <w:r>
        <w:rPr>
          <w:rFonts w:ascii="Times New Roman" w:hAnsi="Times New Roman" w:cs="Times New Roman"/>
          <w:color w:val="00000A"/>
        </w:rPr>
        <w:t xml:space="preserve">твердить </w:t>
      </w:r>
      <w:hyperlink r:id="rId6" w:history="1">
        <w:r>
          <w:rPr>
            <w:rFonts w:ascii="Times New Roman" w:hAnsi="Times New Roman" w:cs="Times New Roman"/>
            <w:color w:val="00000A"/>
            <w:u w:val="single"/>
          </w:rPr>
          <w:t>Программу</w:t>
        </w:r>
      </w:hyperlink>
      <w:r>
        <w:rPr>
          <w:rFonts w:ascii="Times New Roman" w:hAnsi="Times New Roman" w:cs="Times New Roman"/>
          <w:color w:val="00000A"/>
        </w:rPr>
        <w:t xml:space="preserve">  муниципальных 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Курской области на 2025год согласно приложению №11  к настоящему Решению и </w:t>
      </w:r>
      <w:hyperlink r:id="rId7" w:history="1">
        <w:r>
          <w:rPr>
            <w:rFonts w:ascii="Times New Roman" w:hAnsi="Times New Roman" w:cs="Times New Roman"/>
            <w:color w:val="00000A"/>
            <w:u w:val="single"/>
          </w:rPr>
          <w:t>Программу</w:t>
        </w:r>
      </w:hyperlink>
      <w:r>
        <w:rPr>
          <w:rFonts w:ascii="Times New Roman" w:hAnsi="Times New Roman" w:cs="Times New Roman"/>
          <w:color w:val="00000A"/>
        </w:rPr>
        <w:t xml:space="preserve">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на  плановый период 2026 и 2027годов согласно приложению №12  к настоящему  Решению.</w:t>
      </w:r>
    </w:p>
    <w:p w:rsidR="00305AE3" w:rsidRDefault="00305AE3" w:rsidP="00305AE3">
      <w:pPr>
        <w:pStyle w:val="Standard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5. Утвердить </w:t>
      </w:r>
      <w:hyperlink r:id="rId8" w:history="1">
        <w:r>
          <w:rPr>
            <w:rFonts w:ascii="Times New Roman" w:hAnsi="Times New Roman" w:cs="Times New Roman"/>
            <w:color w:val="00000A"/>
            <w:u w:val="single"/>
          </w:rPr>
          <w:t>Программу</w:t>
        </w:r>
      </w:hyperlink>
      <w:r>
        <w:rPr>
          <w:rFonts w:ascii="Times New Roman" w:hAnsi="Times New Roman" w:cs="Times New Roman"/>
          <w:color w:val="00000A"/>
        </w:rPr>
        <w:t xml:space="preserve">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Курской области на 2025 год согласно приложению №13  к настоящему Решению и </w:t>
      </w:r>
      <w:hyperlink r:id="rId9" w:history="1">
        <w:r>
          <w:rPr>
            <w:rFonts w:ascii="Times New Roman" w:hAnsi="Times New Roman" w:cs="Times New Roman"/>
            <w:color w:val="00000A"/>
            <w:u w:val="single"/>
          </w:rPr>
          <w:t>Программу</w:t>
        </w:r>
      </w:hyperlink>
      <w:r>
        <w:rPr>
          <w:rFonts w:ascii="Times New Roman" w:hAnsi="Times New Roman" w:cs="Times New Roman"/>
          <w:color w:val="00000A"/>
        </w:rPr>
        <w:t xml:space="preserve"> муниципальных  гарантий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  на плановый период 2026 и 2027 годов согласно приложению № 14 к настоящему Решению.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ind w:left="283" w:firstLine="72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Статья 10. Вступление в силу настоящего Решения</w:t>
      </w:r>
    </w:p>
    <w:p w:rsidR="00305AE3" w:rsidRDefault="00305AE3" w:rsidP="00305AE3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Настоящее Решение подлежит опубликованию (обнародованию) не позднее 10 дней после его подписания и вступает в силу 01 января 2025 года.</w:t>
      </w:r>
    </w:p>
    <w:p w:rsidR="00305AE3" w:rsidRDefault="00305AE3" w:rsidP="00305AE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Председатель Собрания депутатов</w:t>
      </w:r>
    </w:p>
    <w:p w:rsidR="00305AE3" w:rsidRDefault="00305AE3" w:rsidP="00305AE3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</w:t>
      </w:r>
    </w:p>
    <w:p w:rsidR="00305AE3" w:rsidRDefault="00305AE3" w:rsidP="00305AE3">
      <w:pPr>
        <w:pStyle w:val="Standard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                                                                            Т.В.Терехова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Глава </w:t>
      </w: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сельсовета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                                                                            Г.Д.Захаров</w:t>
      </w: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Приложение №1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от  «  »декабря 2024 г. №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0"/>
        <w:gridCol w:w="4565"/>
        <w:gridCol w:w="2241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Код группы, подгруппы, статьи и вида источников</w:t>
            </w:r>
          </w:p>
        </w:tc>
        <w:tc>
          <w:tcPr>
            <w:tcW w:w="4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 на 2025год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4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тыс.руб.)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-2284,4054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-2284,4054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0 1 05 02 01 00 0000 510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-2284,4054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0 1 05 02 01 10 0000 510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-2284,4054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0 1 05 02 01 00 0000 610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прочих остатков денежных 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0 1 05 02 01 10 0000 610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2284,4054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ind w:right="-426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  <w:r>
        <w:rPr>
          <w:rFonts w:ascii="Times New Roman" w:hAnsi="Times New Roman" w:cs="Times New Roman"/>
          <w:i/>
          <w:iCs/>
          <w:color w:val="00000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  <w:r>
        <w:rPr>
          <w:rFonts w:ascii="Times New Roman" w:hAnsi="Times New Roman" w:cs="Times New Roman"/>
          <w:i/>
          <w:iCs/>
          <w:color w:val="00000A"/>
        </w:rPr>
        <w:t xml:space="preserve">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Приложение №2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к 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 » декабря 2024 г. №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 ПЛАНОВЫЙ ПЕРИОД 2026</w:t>
      </w:r>
      <w:proofErr w:type="gramStart"/>
      <w:r>
        <w:rPr>
          <w:rFonts w:ascii="Times New Roman" w:hAnsi="Times New Roman" w:cs="Times New Roman"/>
          <w:b/>
          <w:bCs/>
          <w:color w:val="00000A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A"/>
        </w:rPr>
        <w:t xml:space="preserve"> 2027ГОДОВ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141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9"/>
        <w:gridCol w:w="3911"/>
        <w:gridCol w:w="1669"/>
        <w:gridCol w:w="1669"/>
        <w:gridCol w:w="966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Код группы, подгруппы, статьи и вида источников</w:t>
            </w:r>
          </w:p>
        </w:tc>
        <w:tc>
          <w:tcPr>
            <w:tcW w:w="39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Плановый период</w:t>
            </w:r>
          </w:p>
        </w:tc>
        <w:tc>
          <w:tcPr>
            <w:tcW w:w="16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Плановый период</w:t>
            </w:r>
          </w:p>
        </w:tc>
        <w:tc>
          <w:tcPr>
            <w:tcW w:w="96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6год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2027год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Источники внутреннего финансирования дефицитов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остатков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0 1 05 02 01 00 0000 510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0 1 05 02 01 10 0000 510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остатков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прочих остатков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0 1 05 02 01 00 0000 610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прочих остатков денежных  средств бюджетов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0 1 05 02 01 10 0000 610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1933,822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1934,222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Приложение №3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к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» декабря  2024 г. №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2025году</w:t>
      </w:r>
    </w:p>
    <w:p w:rsidR="00305AE3" w:rsidRDefault="00305AE3" w:rsidP="00305AE3">
      <w:pPr>
        <w:pStyle w:val="Standard"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A"/>
          <w:lang w:val="en-US"/>
        </w:rPr>
        <w:t>(</w:t>
      </w:r>
      <w:r>
        <w:rPr>
          <w:rFonts w:ascii="Times New Roman" w:hAnsi="Times New Roman" w:cs="Times New Roman"/>
          <w:b/>
          <w:bCs/>
          <w:color w:val="00000A"/>
        </w:rPr>
        <w:t>тыс.руб.)</w:t>
      </w:r>
      <w:proofErr w:type="gramEnd"/>
    </w:p>
    <w:tbl>
      <w:tblPr>
        <w:tblW w:w="10196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6127"/>
        <w:gridCol w:w="1559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 на 2025год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8 50 00000 00 0000 000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1434,717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64,970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1 01 02000 01 0000 110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64,970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1 01 02010 01 0000 110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источником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которых является налоговый агент, за исключением доходов,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которых исчисление и уплата налога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осуществляются в соответствии со статьями 227, 227 и 228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Налогового кодекса Российской Федерации, а также доходов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от долевого участия в организации,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физическим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лицом - налоговым резидентом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в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</w:rPr>
              <w:t>виде дивидендов (в части суммы налога, не превышающей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650 тысяч рублей за налоговые периоды до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года, а также в части суммы налога, не превышающей 312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тысяч рублей за налоговые периоды после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года), а также налог на доходы физических лиц в отношении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доходов от долевого участия в организации,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физическим лицом, не являющимся налоговым резидентом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64,649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1 01 02030 01 0000 110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физическими лицами в соответствии со статьей 228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Налогового кодекса Российской Федерации (за исключением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доходов от долевого участия в организации,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физическим лицом - налоговым резидентом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 в виде дивидендов) (в части суммы налога, не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превышающей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650 тысяч рублей за налоговые периоды до 1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 2025 года, а также в части суммы налога, не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превышающей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312 тысяч рублей за налоговые периоды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1 января 2025 года)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0,124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1 01 02130 01 0000 110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долевого участия в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физическим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лицом - налоговым резидентом Российской Федерации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 дивидендов (в части суммы налога, не превышающей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тысяч рублей за налоговые периоды до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года, а также в части суммы налога, не превышающей 312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рублей за налоговые периоды после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0,197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918,641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1 06 01000 00 0000 110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95,331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1 06 01030 10 0000 110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95,331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1 06 06000 00 0000 110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823,31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1 06 06030 00 0000 110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1 06 06033 10 0000 110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1 06 06040 00 0000 110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274,828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1 06 06043 10 0000 110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274,828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111 00000 00 0000 000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111 05000 00 0000 120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111 05020 00 0000 120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111 05025 10 0000 120</w:t>
            </w:r>
          </w:p>
        </w:tc>
        <w:tc>
          <w:tcPr>
            <w:tcW w:w="612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полученные в виде арендной платы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849,6884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2 02 00000 00 0000 000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849,6884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2 02 00000 00 0000 150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693,8154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2 02 16001 00 0000 150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330,3624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2 02 15001 10 0000 150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363,453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2 02 15002 00 0000 150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2 02 15002 10 0000 150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2 02 35000 00 0000 150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2 02 35118 00 0000 150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2 02 35118 10 0000 150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                    Приложение №4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» декабря  2024г. №   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 плановом периоде 2026 и2027годов</w:t>
      </w:r>
    </w:p>
    <w:p w:rsidR="00305AE3" w:rsidRDefault="00305AE3" w:rsidP="00305A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A"/>
          <w:lang w:val="en-US"/>
        </w:rPr>
        <w:t>(</w:t>
      </w:r>
      <w:r>
        <w:rPr>
          <w:rFonts w:ascii="Times New Roman" w:hAnsi="Times New Roman" w:cs="Times New Roman"/>
          <w:b/>
          <w:bCs/>
          <w:color w:val="00000A"/>
        </w:rPr>
        <w:t>тыс.руб.)</w:t>
      </w:r>
      <w:proofErr w:type="gramEnd"/>
    </w:p>
    <w:tbl>
      <w:tblPr>
        <w:tblW w:w="103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78"/>
        <w:gridCol w:w="4345"/>
        <w:gridCol w:w="1559"/>
        <w:gridCol w:w="1561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 на 2026год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 на 2027год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8 50 00000 00 0000 000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1933,822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1934,222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1449,593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1462,178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69,370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71,340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1 01 02000 01 0000 110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69,370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71,340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1 01 02010 01 0000 110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источником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которых является налоговый агент, за исключением доходов,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которых исчисление и уплата налога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осуществляются в соответствии со статьями 227, 2271 и 228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Налогового кодекса Российской Федерации, а также доходов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от долевого участия в организации,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физическим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лицом - налоговым резидентом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в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</w:rPr>
              <w:t>виде дивидендов (в части суммы налога, не превышающей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650 тысяч рублей за налоговые периоды до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года, а также в части суммы налога, не превышающей 312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тысяч рублей за налоговые периоды после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года), а также налог на доходы физических лиц в отношении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доходов от долевого участия в организации,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физическим лицом, не являющимся налоговым резидентом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69,025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70,984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1 01 02030 01 0000 110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физическими лицами в соответствии со статьей 228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Налогового кодекса Российской Федерации (за исключением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доходов от долевого участия в организации, полученных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физическим лицом - налоговым резидентом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 в виде дивидендов) (в части суммы налога, не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превышающей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650 тысяч рублей за налоговые периоды до 1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 2025 года, а также в части суммы налога, не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превышающей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312 тысяч рублей за налоговые периоды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1 января 2025 года)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0,131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1 01 02130 01 0000 110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долевого участия в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физическим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лицом - налоговым резидентом Российской Федерации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 дивидендов (в части суммы налога, не превышающей</w:t>
            </w:r>
            <w:proofErr w:type="gramEnd"/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тысяч рублей за налоговые периоды до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года, а также в части суммы налога, не превышающей 312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рублей за налоговые периоды после 1 января 2025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0,214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t>929,117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t>939,732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1 06 01000 00 0000 110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97,928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100,444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1 06 01030 10 0000 110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97,928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100,444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1 06 06000 00 0000 110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831,189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839,288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1 06 06030 00 0000 110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1 06 06033 10 0000 110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1 06 06040 00 0000 110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282,707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290,806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1 06 06043 10 0000 110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282,707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290,806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111 00000 00 0000 000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451,106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111 05000 00 0000 120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либо иной платы за передачу в возмездное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пользование государственного и муниципального имуществ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451,106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111 05020 00 0000 120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111 05025 10 0000 120</w:t>
            </w:r>
          </w:p>
        </w:tc>
        <w:tc>
          <w:tcPr>
            <w:tcW w:w="434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полученные в виде арендной платы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451,106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451,106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484,229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472,044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2 02 00000 00 0000 000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484,229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472,044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2 02 15000 00 0000 150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313,270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294,843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2 02 15001 00 0000 150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313,270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294,843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2 02 15001 10 0000 150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2 02 15002 00 0000 150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2 02 15002 10 0000 150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2 02 35000 00 0000 150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2 02 35118 00 0000 150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2 02 35118 10 0000 150</w:t>
            </w:r>
          </w:p>
        </w:tc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                    Приложение №5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»  декабря   2024 г. №                 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color w:val="00000A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A"/>
        </w:rPr>
        <w:t xml:space="preserve">муниципальных программам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    </w:t>
      </w:r>
      <w:r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A"/>
        </w:rPr>
        <w:t>тыс</w:t>
      </w:r>
      <w:proofErr w:type="gramEnd"/>
      <w:r>
        <w:rPr>
          <w:rFonts w:ascii="Times New Roman" w:hAnsi="Times New Roman" w:cs="Times New Roman"/>
          <w:color w:val="00000A"/>
        </w:rPr>
        <w:t xml:space="preserve">.  руб.)                                                                                                                                                  </w:t>
      </w:r>
    </w:p>
    <w:tbl>
      <w:tblPr>
        <w:tblW w:w="10198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2"/>
        <w:gridCol w:w="708"/>
        <w:gridCol w:w="709"/>
        <w:gridCol w:w="1701"/>
        <w:gridCol w:w="992"/>
        <w:gridCol w:w="1556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right="44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305AE3" w:rsidRDefault="00305AE3" w:rsidP="00305AE3">
            <w:pPr>
              <w:pStyle w:val="Standard"/>
              <w:spacing w:after="0" w:line="240" w:lineRule="auto"/>
              <w:ind w:right="447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1950,67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55,817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09 1 00 00000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110,97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211,117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50,692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lastRenderedPageBreak/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 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1.00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9,1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</w:rPr>
              <w:t>"Молодежная политика"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Создание условий для вовлечения молодежи в активную общественную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деятельность\</w:t>
            </w:r>
            <w:proofErr w:type="spellEnd"/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130,3624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A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A"/>
        </w:rPr>
        <w:t xml:space="preserve">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                    Приложение №6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решению 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»   декабря   2024 г. №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color w:val="00000A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плановый период 2026и 2027 годов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        </w:t>
      </w:r>
      <w:r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A"/>
        </w:rPr>
        <w:t>тыс</w:t>
      </w:r>
      <w:proofErr w:type="gramEnd"/>
      <w:r>
        <w:rPr>
          <w:rFonts w:ascii="Times New Roman" w:hAnsi="Times New Roman" w:cs="Times New Roman"/>
          <w:color w:val="00000A"/>
        </w:rPr>
        <w:t xml:space="preserve">.  руб.)            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tbl>
      <w:tblPr>
        <w:tblW w:w="10057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1"/>
        <w:gridCol w:w="567"/>
        <w:gridCol w:w="567"/>
        <w:gridCol w:w="1560"/>
        <w:gridCol w:w="567"/>
        <w:gridCol w:w="1275"/>
        <w:gridCol w:w="1560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right="44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6год</w:t>
            </w:r>
          </w:p>
          <w:p w:rsidR="00305AE3" w:rsidRDefault="00305AE3" w:rsidP="00305AE3">
            <w:pPr>
              <w:pStyle w:val="Standard"/>
              <w:spacing w:after="0" w:line="240" w:lineRule="auto"/>
              <w:ind w:right="447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right="44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305AE3" w:rsidRDefault="00305AE3" w:rsidP="00305AE3">
            <w:pPr>
              <w:pStyle w:val="Standard"/>
              <w:spacing w:after="0" w:line="240" w:lineRule="auto"/>
              <w:ind w:right="447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1933,822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1934,222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44,07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87,85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1445,993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1669,171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159,593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382,771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143,593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378,771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170,959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65,778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72,020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43,5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07 301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9,1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</w:rPr>
              <w:t>"Молодежная политика"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расходы на реализацию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A"/>
              </w:rP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</w:tbl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Приложение №7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» декабря  2024г. №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.                                      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  </w:t>
      </w:r>
      <w:r>
        <w:rPr>
          <w:rFonts w:ascii="Times New Roman" w:hAnsi="Times New Roman" w:cs="Times New Roman"/>
          <w:color w:val="00000A"/>
        </w:rPr>
        <w:t xml:space="preserve"> 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708"/>
        <w:gridCol w:w="567"/>
        <w:gridCol w:w="567"/>
        <w:gridCol w:w="1701"/>
        <w:gridCol w:w="851"/>
        <w:gridCol w:w="1559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5год</w:t>
            </w:r>
          </w:p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1950,67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8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55,817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0 01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P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211,117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3.7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50,692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"Обеспечение первичных мер пожарной безопасности в границах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0 01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0 5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C1433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1.00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9,1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19,4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</w:rPr>
              <w:t>"Молодежная политика"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P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A"/>
        </w:rPr>
        <w:t xml:space="preserve">  Приложение № 8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от  « »  декабря  2024г. №            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плановый период 2026и2027годов</w:t>
      </w:r>
    </w:p>
    <w:p w:rsidR="00305AE3" w:rsidRDefault="00305AE3" w:rsidP="00305AE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</w:p>
    <w:tbl>
      <w:tblPr>
        <w:tblW w:w="10774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567"/>
        <w:gridCol w:w="567"/>
        <w:gridCol w:w="567"/>
        <w:gridCol w:w="1559"/>
        <w:gridCol w:w="851"/>
        <w:gridCol w:w="1276"/>
        <w:gridCol w:w="1276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6год</w:t>
            </w:r>
          </w:p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7год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1933,822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1934,222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44,07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87,85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1445,993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1669,171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органами управления государственными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159,593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382,771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143,593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378,771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3,00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170,959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65,778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72,020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b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43,5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«Обеспечение качественными услугами ЖКХ населения муниципальном образовании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07 301 C1433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9,1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</w:rPr>
              <w:t>"Молодежная политика"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A"/>
              </w:rP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227,3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color w:val="00000A"/>
        </w:rPr>
        <w:t>Приложение №9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 » декабря   2024 г. №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на 2025год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1020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4"/>
        <w:gridCol w:w="1558"/>
        <w:gridCol w:w="849"/>
        <w:gridCol w:w="1704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2284,4054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131,3624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1.0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13 201</w:t>
            </w:r>
            <w:r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214,817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211,117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2024-2026годы"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"Организация и содержание мест захоронения"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9,1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Обеспечение функционирования главы  муниципального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71 000 00000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Глава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18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155,873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50,692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0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45,00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Резервный фонд местной администрации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364,453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Приложение №10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 »  декабря  2024 г. №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на плановый период 2026и 2027годов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48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4"/>
        <w:gridCol w:w="1559"/>
        <w:gridCol w:w="851"/>
        <w:gridCol w:w="1417"/>
        <w:gridCol w:w="1843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. рублей)2026г.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Сумма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(тыс. рублей)2027г.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1933,822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1934,222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44,07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87,85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227,3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07 301С1433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Программа «Развитие и укрепление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материально-технической базы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сельсовете на 2024-2026годы"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9,1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816,7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813,7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813,7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73 100С1402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146,593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146,593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146,593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381,771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143,593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378,771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76100 </w:t>
            </w:r>
            <w:r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170,959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177,201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105,181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105,181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65,778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t>72,020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</w:rPr>
              <w:t>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305AE3" w:rsidTr="00A8062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8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A"/>
          <w:lang w:val="en-US"/>
        </w:rPr>
        <w:t xml:space="preserve">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                                           Приложение № 11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к 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 » декабря  2024 г. №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 год</w:t>
      </w:r>
    </w:p>
    <w:p w:rsidR="00305AE3" w:rsidRDefault="00305AE3" w:rsidP="00305A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  <w:lang w:val="en-US"/>
        </w:rPr>
        <w:t>1.</w:t>
      </w:r>
      <w:r>
        <w:rPr>
          <w:rFonts w:ascii="Times New Roman" w:hAnsi="Times New Roman" w:cs="Times New Roman"/>
          <w:b/>
          <w:bCs/>
          <w:color w:val="00000A"/>
        </w:rPr>
        <w:t>Привлечение внутренних заимствований</w:t>
      </w:r>
    </w:p>
    <w:tbl>
      <w:tblPr>
        <w:tblW w:w="10566" w:type="dxa"/>
        <w:tblInd w:w="-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5"/>
        <w:gridCol w:w="7099"/>
        <w:gridCol w:w="2662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0566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305AE3" w:rsidRDefault="00305AE3" w:rsidP="00305AE3">
            <w:pPr>
              <w:pStyle w:val="Standard"/>
              <w:spacing w:after="0" w:line="240" w:lineRule="auto"/>
              <w:ind w:left="514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 году (тыс. руб.)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10566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Погашение внутренних заимствований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305AE3" w:rsidRDefault="00305AE3" w:rsidP="00305AE3">
            <w:pPr>
              <w:pStyle w:val="Standard"/>
              <w:spacing w:after="0" w:line="240" w:lineRule="auto"/>
              <w:ind w:left="5146"/>
              <w:rPr>
                <w:rFonts w:ascii="Times New Roman" w:hAnsi="Times New Roman" w:cs="Times New Roman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в 2025 году   (тыс. руб.)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spacing w:val="1"/>
        </w:rPr>
      </w:pPr>
    </w:p>
    <w:p w:rsidR="00A80627" w:rsidRDefault="00A80627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spacing w:val="1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Приложение № 12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» декабря   2024 г. №                 </w:t>
      </w:r>
    </w:p>
    <w:p w:rsidR="00305AE3" w:rsidRDefault="00305AE3" w:rsidP="00305AE3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color w:val="00000A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на плановый период 2026и 2027 годов</w:t>
      </w:r>
    </w:p>
    <w:p w:rsidR="00305AE3" w:rsidRDefault="00305AE3" w:rsidP="00305A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  <w:lang w:val="en-US"/>
        </w:rPr>
        <w:t>1.</w:t>
      </w:r>
      <w:r>
        <w:rPr>
          <w:rFonts w:ascii="Times New Roman" w:hAnsi="Times New Roman" w:cs="Times New Roman"/>
          <w:b/>
          <w:bCs/>
          <w:color w:val="00000A"/>
        </w:rPr>
        <w:t>Привлечение внутренних заимствований</w:t>
      </w:r>
    </w:p>
    <w:tbl>
      <w:tblPr>
        <w:tblW w:w="10566" w:type="dxa"/>
        <w:tblInd w:w="-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4439"/>
        <w:gridCol w:w="1645"/>
        <w:gridCol w:w="1857"/>
        <w:gridCol w:w="2029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6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305AE3" w:rsidRDefault="00305AE3" w:rsidP="00305AE3">
            <w:pPr>
              <w:pStyle w:val="Standard"/>
              <w:spacing w:after="0" w:line="240" w:lineRule="auto"/>
              <w:ind w:left="514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2026году (тыс. руб.)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2027 году (тыс. руб.)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6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 Погашение внутренних заимствований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</w:t>
            </w:r>
          </w:p>
          <w:p w:rsidR="00305AE3" w:rsidRDefault="00305AE3" w:rsidP="00305AE3">
            <w:pPr>
              <w:pStyle w:val="Standard"/>
              <w:spacing w:after="0" w:line="240" w:lineRule="auto"/>
              <w:ind w:left="5146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погашения средств в 2026году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погашения средств в 2027 году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A80627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05AE3" w:rsidRDefault="00305AE3" w:rsidP="00A8062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Приложение №13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 решению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» декабря 2024 г. №            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 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Перечень подлежащих предоставлению муниципальных гарантий в 2025 году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Ind w:w="-103" w:type="dxa"/>
        <w:tblCellMar>
          <w:left w:w="10" w:type="dxa"/>
          <w:right w:w="10" w:type="dxa"/>
        </w:tblCellMar>
        <w:tblLook w:val="04A0"/>
      </w:tblPr>
      <w:tblGrid>
        <w:gridCol w:w="417"/>
        <w:gridCol w:w="13"/>
        <w:gridCol w:w="1707"/>
        <w:gridCol w:w="1388"/>
        <w:gridCol w:w="1659"/>
        <w:gridCol w:w="1910"/>
        <w:gridCol w:w="1587"/>
        <w:gridCol w:w="1350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гарантий,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гарантии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Общий объем бюджетных ассигнований, предусмотренных на исполнение муниципальных гарантий по возможным гарантийным случаям в 2025 году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4579"/>
        <w:gridCol w:w="5216"/>
      </w:tblGrid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муниципальных гарантий 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счет источников финансирования дефицита </w:t>
            </w:r>
          </w:p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расходов местного бюджета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80627" w:rsidRDefault="00A80627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Приложение №14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 сельсовета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305AE3" w:rsidRDefault="00305AE3" w:rsidP="00305AE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от  «  »                  2024 г. №                   </w:t>
      </w: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 плановый период 2026и 2027годов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1.Перечень подлежащих предоставлению муниципальных гарантий в  плановом периоде 2026 и 2027годов</w:t>
      </w:r>
    </w:p>
    <w:tbl>
      <w:tblPr>
        <w:tblW w:w="10201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4"/>
        <w:gridCol w:w="870"/>
        <w:gridCol w:w="922"/>
        <w:gridCol w:w="1426"/>
        <w:gridCol w:w="1526"/>
        <w:gridCol w:w="1210"/>
        <w:gridCol w:w="1244"/>
        <w:gridCol w:w="2119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п</w:t>
            </w:r>
            <w:proofErr w:type="spellEnd"/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Цель гарантирования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принципала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Сумма гарантирования тыс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ублей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Наличие права регрессного требования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кредитора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Срок гарантии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A"/>
              </w:rPr>
              <w:t>6г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A"/>
              </w:rPr>
              <w:t>7г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</w:tr>
    </w:tbl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2. Общий объем бюджетных ассигнований, предусмотренных на пополнение муниципальных гарантий </w:t>
      </w:r>
    </w:p>
    <w:p w:rsidR="00305AE3" w:rsidRDefault="00305AE3" w:rsidP="00305A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по возможным гарантийным случаям в  плановом периоде 2026и 2027годов</w:t>
      </w:r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1"/>
        <w:gridCol w:w="3260"/>
        <w:gridCol w:w="3685"/>
        <w:gridCol w:w="4544"/>
      </w:tblGrid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Пополнение муниципальных гарантий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Объем бюджетных ассигнований на пополнение гарантий по возможным случаям, тыс. руб.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</w:rPr>
              <w:t>Объем бюджетных ассигнований на пополнение гарантий по возможным случаям, тыс. руб.</w:t>
            </w:r>
          </w:p>
        </w:tc>
        <w:tc>
          <w:tcPr>
            <w:tcW w:w="454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A"/>
              </w:rPr>
              <w:t>6</w:t>
            </w:r>
            <w:r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2027 год</w:t>
            </w:r>
          </w:p>
        </w:tc>
        <w:tc>
          <w:tcPr>
            <w:tcW w:w="4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</w:t>
            </w:r>
          </w:p>
        </w:tc>
        <w:tc>
          <w:tcPr>
            <w:tcW w:w="4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05AE3" w:rsidTr="00305A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0</w:t>
            </w:r>
          </w:p>
        </w:tc>
        <w:tc>
          <w:tcPr>
            <w:tcW w:w="4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AE3" w:rsidRDefault="00305AE3" w:rsidP="00305A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</w:tr>
    </w:tbl>
    <w:p w:rsidR="00305AE3" w:rsidRDefault="00305AE3" w:rsidP="00305AE3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05AE3" w:rsidRDefault="00305AE3" w:rsidP="00305AE3">
      <w:pPr>
        <w:pStyle w:val="Standard"/>
        <w:spacing w:after="0" w:line="240" w:lineRule="auto"/>
      </w:pPr>
    </w:p>
    <w:p w:rsidR="00857A1F" w:rsidRDefault="00857A1F" w:rsidP="00305AE3">
      <w:pPr>
        <w:spacing w:after="0" w:line="240" w:lineRule="auto"/>
      </w:pPr>
    </w:p>
    <w:sectPr w:rsidR="00857A1F" w:rsidSect="00305AE3">
      <w:pgSz w:w="12240" w:h="15840"/>
      <w:pgMar w:top="1134" w:right="567" w:bottom="1134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C60"/>
    <w:multiLevelType w:val="multilevel"/>
    <w:tmpl w:val="1762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AE3"/>
    <w:rsid w:val="00305AE3"/>
    <w:rsid w:val="00857A1F"/>
    <w:rsid w:val="00A8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AE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5AE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a3">
    <w:name w:val="Заголовок"/>
    <w:basedOn w:val="Standard"/>
    <w:next w:val="Textbody"/>
    <w:rsid w:val="00305AE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05AE3"/>
    <w:pPr>
      <w:spacing w:after="120"/>
    </w:pPr>
  </w:style>
  <w:style w:type="paragraph" w:styleId="a4">
    <w:name w:val="Subtitle"/>
    <w:basedOn w:val="a3"/>
    <w:next w:val="Textbody"/>
    <w:link w:val="a5"/>
    <w:rsid w:val="00305AE3"/>
    <w:pPr>
      <w:jc w:val="center"/>
    </w:pPr>
    <w:rPr>
      <w:i/>
      <w:iCs/>
    </w:rPr>
  </w:style>
  <w:style w:type="character" w:customStyle="1" w:styleId="a5">
    <w:name w:val="Подзаголовок Знак"/>
    <w:basedOn w:val="a0"/>
    <w:link w:val="a4"/>
    <w:rsid w:val="00305AE3"/>
    <w:rPr>
      <w:rFonts w:ascii="Arial" w:eastAsia="MS Mincho" w:hAnsi="Arial" w:cs="Tahoma"/>
      <w:i/>
      <w:iCs/>
      <w:kern w:val="3"/>
      <w:sz w:val="28"/>
      <w:szCs w:val="28"/>
      <w:lang w:eastAsia="ru-RU"/>
    </w:rPr>
  </w:style>
  <w:style w:type="paragraph" w:styleId="a6">
    <w:name w:val="List"/>
    <w:basedOn w:val="Textbody"/>
    <w:rsid w:val="00305AE3"/>
  </w:style>
  <w:style w:type="paragraph" w:styleId="a7">
    <w:name w:val="caption"/>
    <w:basedOn w:val="Standard"/>
    <w:rsid w:val="00305AE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05AE3"/>
    <w:pPr>
      <w:suppressLineNumbers/>
    </w:pPr>
  </w:style>
  <w:style w:type="paragraph" w:styleId="a8">
    <w:name w:val="Balloon Text"/>
    <w:link w:val="a9"/>
    <w:rsid w:val="00305AE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305AE3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Plain Text"/>
    <w:link w:val="ab"/>
    <w:rsid w:val="00305AE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05AE3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305AE3"/>
    <w:pPr>
      <w:suppressLineNumbers/>
    </w:pPr>
  </w:style>
  <w:style w:type="paragraph" w:customStyle="1" w:styleId="TableHeading">
    <w:name w:val="Table Heading"/>
    <w:basedOn w:val="TableContents"/>
    <w:rsid w:val="00305AE3"/>
    <w:pPr>
      <w:jc w:val="center"/>
    </w:pPr>
    <w:rPr>
      <w:b/>
      <w:bCs/>
    </w:rPr>
  </w:style>
  <w:style w:type="character" w:customStyle="1" w:styleId="Internetlink">
    <w:name w:val="Internet link"/>
    <w:rsid w:val="00305AE3"/>
    <w:rPr>
      <w:color w:val="000080"/>
      <w:u w:val="single"/>
    </w:rPr>
  </w:style>
  <w:style w:type="character" w:customStyle="1" w:styleId="NumberingSymbols">
    <w:name w:val="Numbering Symbols"/>
    <w:rsid w:val="0030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15448</Words>
  <Characters>88055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dcterms:created xsi:type="dcterms:W3CDTF">2024-11-18T07:12:00Z</dcterms:created>
  <dcterms:modified xsi:type="dcterms:W3CDTF">2024-11-18T07:12:00Z</dcterms:modified>
</cp:coreProperties>
</file>