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F2" w:rsidRDefault="00990AF2" w:rsidP="00990AF2">
      <w:pPr>
        <w:tabs>
          <w:tab w:val="left" w:pos="2715"/>
          <w:tab w:val="center" w:pos="484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14450" cy="120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F2" w:rsidRDefault="00990AF2" w:rsidP="00990AF2">
      <w:pPr>
        <w:tabs>
          <w:tab w:val="left" w:pos="2715"/>
          <w:tab w:val="center" w:pos="4844"/>
        </w:tabs>
        <w:spacing w:after="0" w:line="240" w:lineRule="auto"/>
        <w:rPr>
          <w:rFonts w:ascii="Times New Roman" w:eastAsia="Arial" w:hAnsi="Times New Roman" w:cs="Times New Roman"/>
          <w:b/>
          <w:bCs/>
          <w:sz w:val="44"/>
          <w:szCs w:val="44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                    </w:t>
      </w:r>
      <w:r>
        <w:rPr>
          <w:rFonts w:ascii="Times New Roman" w:eastAsia="Arial" w:hAnsi="Times New Roman" w:cs="Times New Roman"/>
          <w:b/>
          <w:bCs/>
          <w:sz w:val="44"/>
          <w:szCs w:val="44"/>
        </w:rPr>
        <w:t>СОБРАНИЕ ДЕПУТАТОВ</w:t>
      </w:r>
    </w:p>
    <w:p w:rsidR="00990AF2" w:rsidRDefault="00990AF2" w:rsidP="00990AF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r>
        <w:rPr>
          <w:rFonts w:ascii="Times New Roman" w:eastAsia="Arial" w:hAnsi="Times New Roman" w:cs="Times New Roman"/>
          <w:b/>
          <w:bCs/>
          <w:sz w:val="44"/>
          <w:szCs w:val="44"/>
        </w:rPr>
        <w:t>КОСОРЖАНСКОГО СЕЛЬСОВЕТА</w:t>
      </w:r>
    </w:p>
    <w:p w:rsidR="00990AF2" w:rsidRDefault="00990AF2" w:rsidP="00990AF2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4"/>
          <w:szCs w:val="44"/>
        </w:rPr>
      </w:pPr>
      <w:r>
        <w:rPr>
          <w:rFonts w:ascii="Times New Roman" w:eastAsia="Arial" w:hAnsi="Times New Roman" w:cs="Times New Roman"/>
          <w:bCs/>
          <w:sz w:val="44"/>
          <w:szCs w:val="44"/>
        </w:rPr>
        <w:t>ЩИГРОВСКОГО РАЙОНА КУРСКОЙ ОБЛАСТИ</w:t>
      </w:r>
    </w:p>
    <w:p w:rsidR="00990AF2" w:rsidRDefault="00990AF2" w:rsidP="00990AF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</w:p>
    <w:p w:rsidR="00990AF2" w:rsidRDefault="00990AF2" w:rsidP="00990AF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eastAsia="Arial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eastAsia="Arial" w:hAnsi="Times New Roman" w:cs="Times New Roman"/>
          <w:b/>
          <w:bCs/>
          <w:sz w:val="44"/>
          <w:szCs w:val="44"/>
        </w:rPr>
        <w:t xml:space="preserve"> Е Ш Е Н И Е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AF2" w:rsidRDefault="00990AF2" w:rsidP="00990AF2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«28» апреля 2025 г.                  № 54-2-7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проекту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«Об утверждении отчета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за 2024 год»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0AF2" w:rsidRDefault="00990AF2" w:rsidP="00990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 Утвердить Порядок проведения публичных слушаний по проекту решения «Об утверждении отчета об исполнении  бюджета 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2024 год»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Т.В.Терехова.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                               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Г.Д.Захаров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AF2" w:rsidRDefault="00990AF2" w:rsidP="00990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                                                      УТВЕРЖДЁН</w:t>
      </w:r>
    </w:p>
    <w:p w:rsidR="00990AF2" w:rsidRDefault="00990AF2" w:rsidP="00990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 Решением Собрания депутатов</w:t>
      </w:r>
    </w:p>
    <w:p w:rsidR="00990AF2" w:rsidRDefault="00990AF2" w:rsidP="00990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90AF2" w:rsidRDefault="00990AF2" w:rsidP="00990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90AF2" w:rsidRDefault="00990AF2" w:rsidP="00990AF2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«28» апреля 2025 г. №54-2-7</w:t>
      </w:r>
    </w:p>
    <w:p w:rsidR="00990AF2" w:rsidRDefault="00990AF2" w:rsidP="00990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AF2" w:rsidRDefault="00990AF2" w:rsidP="00990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90AF2" w:rsidRDefault="00990AF2" w:rsidP="00990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проекту решения</w:t>
      </w:r>
    </w:p>
    <w:p w:rsidR="00990AF2" w:rsidRDefault="00990AF2" w:rsidP="00990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об исполнении бюджета </w:t>
      </w:r>
    </w:p>
    <w:p w:rsidR="00990AF2" w:rsidRDefault="00990AF2" w:rsidP="00990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990AF2" w:rsidRDefault="00990AF2" w:rsidP="00990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2024год»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Публичные слушания по проекту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3.  Решение о проведении публичных слушаний должно приниматься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  за 20 дней до даты рассмотрения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 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проекта  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 проведении публичных слушаний и проект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первом чтении подлежат обнародованию не позднее, чем за 7 дней до проведения слушаний.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Публичные слушания проводятся не позже чем за 7 дней до дня рассмотрения проекта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во втором, окончательном чтении.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 назначении публичных слушаний должно быть обнародовано совместно с проектом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области, выносимого на публичные слушания не позднее чем через 5 дней после их принятия.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Протокол публичных слушаний и рекомендаций (после слушаний) направляются Собранию депутатов не позднее чем через 5 дней после слушаний.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90AF2" w:rsidRDefault="00990AF2" w:rsidP="0099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ведёт публичные слушания и следит за порядком обсуждения вопросов повестки публичных слушаний. В ходе публичных слушаний ведётся протокол.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следуют публичные слушания по проекту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после чего обсуждаются публичные слушания, задаются вопросы: как в устной, так и в письменной формах.    </w:t>
      </w:r>
      <w:proofErr w:type="gramEnd"/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результатам публичных слушаний принимаются рекомендации по проекту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подлежат обнародованию.</w:t>
      </w:r>
    </w:p>
    <w:p w:rsidR="00990AF2" w:rsidRDefault="00990AF2" w:rsidP="00990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90AF2" w:rsidRDefault="00990AF2" w:rsidP="00990AF2">
      <w:pPr>
        <w:rPr>
          <w:rFonts w:ascii="Times New Roman" w:hAnsi="Times New Roman" w:cs="Times New Roman"/>
        </w:rPr>
      </w:pPr>
    </w:p>
    <w:p w:rsidR="00990AF2" w:rsidRDefault="00990AF2" w:rsidP="00990AF2">
      <w:pPr>
        <w:rPr>
          <w:rFonts w:ascii="Times New Roman" w:hAnsi="Times New Roman" w:cs="Times New Roman"/>
        </w:rPr>
      </w:pPr>
    </w:p>
    <w:p w:rsidR="00990AF2" w:rsidRDefault="00990AF2" w:rsidP="00990AF2">
      <w:pPr>
        <w:rPr>
          <w:rFonts w:ascii="Times New Roman" w:hAnsi="Times New Roman" w:cs="Times New Roman"/>
        </w:rPr>
      </w:pPr>
    </w:p>
    <w:p w:rsidR="00990AF2" w:rsidRDefault="00990AF2" w:rsidP="00990AF2">
      <w:pPr>
        <w:rPr>
          <w:rFonts w:ascii="Times New Roman" w:hAnsi="Times New Roman" w:cs="Times New Roman"/>
          <w:sz w:val="14"/>
          <w:szCs w:val="14"/>
        </w:rPr>
      </w:pPr>
    </w:p>
    <w:p w:rsidR="00990AF2" w:rsidRDefault="00990AF2" w:rsidP="00990AF2">
      <w:pPr>
        <w:rPr>
          <w:rFonts w:ascii="Times New Roman" w:hAnsi="Times New Roman" w:cs="Times New Roman"/>
        </w:rPr>
      </w:pPr>
    </w:p>
    <w:p w:rsidR="00990AF2" w:rsidRDefault="00990AF2" w:rsidP="00990AF2"/>
    <w:p w:rsidR="005E6FA0" w:rsidRDefault="005E6FA0"/>
    <w:sectPr w:rsidR="005E6FA0" w:rsidSect="005E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F2"/>
    <w:rsid w:val="005E6FA0"/>
    <w:rsid w:val="0099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2025-04-28T08:49:00Z</dcterms:created>
  <dcterms:modified xsi:type="dcterms:W3CDTF">2025-04-28T08:50:00Z</dcterms:modified>
</cp:coreProperties>
</file>