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54" w:rsidRPr="00531D54" w:rsidRDefault="00531D54" w:rsidP="00531D5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31D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ОБЪЯВЛЕНИЕ О ПРОВЕДЕНИИ ПУБЛИЧНЫХ СЛУШАНИЙ по проекту решения "О бюджете </w:t>
      </w:r>
      <w:proofErr w:type="spellStart"/>
      <w:r w:rsidRPr="00531D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531D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531D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531D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 на 2025 год и на плановый период 2026 и 2027 годов"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ОБЪЯВЛЕНИЕ О ПРОВЕДЕНИИ ПУБЛИЧНЫХ СЛУШАНИЙ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по проекту решения "О бюджете </w:t>
      </w:r>
      <w:proofErr w:type="spellStart"/>
      <w:r w:rsidRPr="00531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531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531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531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 на 2025 год и на плановый период 2026 и 2027 годов"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Уважаемые жители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района!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    В соответствии с Федеральным законом № 131-ФЗ от 06.10.2003 года «Об </w:t>
      </w:r>
      <w:proofErr w:type="gram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общих</w:t>
      </w:r>
      <w:proofErr w:type="gramEnd"/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принципах организации местного самоуправления в Российской Федерации» и Уставом муниципального образования «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Косоржанское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сельское поселение»  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муниципального района  Курской области в декабре 2024 года на территории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 инициативе Собрания депутатов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проводятся публичные слушания по проекту решения Собрания депутатов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«О бюджете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на</w:t>
      </w:r>
      <w:proofErr w:type="gram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2025 год и на плановый период 2026 и 2027 годов».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Участниками публичных слушаний могут быть граждане, достигшие 18 лет,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проживающие в границах муниципального образования, а также представители общественных организаций, общественности, трудовые коллективы предприятий, учреждений, организаций сельсовета.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Публичные слушания состоятся 9 декабря 2024 года в 10 ч. 00 мин. по адресу:  Курская область,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Щигровский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</w:t>
      </w:r>
      <w:proofErr w:type="gram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осоржа, ул.Молодежная, д.1, здание МКРУК «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ДК».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Граждане, желающие принять участие в публичных слушаниях, должны в срок не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позднее пяти дней до даты проведения публичных слушаний подать </w:t>
      </w:r>
      <w:proofErr w:type="gram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письменное</w:t>
      </w:r>
      <w:proofErr w:type="gramEnd"/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заявление в оргкомитет о своем участии по адресу: с</w:t>
      </w:r>
      <w:proofErr w:type="gram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</w:t>
      </w:r>
      <w:proofErr w:type="gram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осоржа, ул.Молодежная, д.1, с 9-00 до 16-00 часов, телефон 4-67-18.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Предложения и (или) замечания по проекту решения Собрания депутатов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«О бюджете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на 2025 год и на плановый период 2026 и 2027 годов», принимаются оргкомитетом по подготовке и проведению публичных слушаний в рабочие дни с 9-00 часов до 12-00 часов и с 13-00 до 16-00 часов по адресу: с</w:t>
      </w:r>
      <w:proofErr w:type="gram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.Косоржа, ул</w:t>
      </w:r>
      <w:proofErr w:type="gramStart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.М</w:t>
      </w:r>
      <w:proofErr w:type="gramEnd"/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олодежная, д.1, в администрации с 9-00 до 16-00 часов, телефон 4-67-18., либо направляются по почте по указанному адресу. Выходные дни: суббота и воскресенье.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С проектом бюджета и материалами к нему можно ознакомиться на официальном сайте администрации в разделе </w:t>
      </w:r>
      <w:hyperlink r:id="rId5" w:history="1">
        <w:r w:rsidRPr="00531D54">
          <w:rPr>
            <w:rFonts w:ascii="Tahoma" w:eastAsia="Times New Roman" w:hAnsi="Tahoma" w:cs="Tahoma"/>
            <w:color w:val="33A6E3"/>
            <w:sz w:val="23"/>
            <w:lang w:eastAsia="ru-RU"/>
          </w:rPr>
          <w:t>Муниципальные правовые акты</w:t>
        </w:r>
      </w:hyperlink>
      <w:r w:rsidRPr="00531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 &gt;&gt; Проекты </w:t>
      </w:r>
      <w:proofErr w:type="gramStart"/>
      <w:r w:rsidRPr="00531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муниципальный</w:t>
      </w:r>
      <w:proofErr w:type="gramEnd"/>
      <w:r w:rsidRPr="00531D5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правовых актов </w:t>
      </w: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адресу: </w:t>
      </w:r>
      <w:r w:rsidRPr="00531D54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http://kosorzh.rkursk.ru/.</w:t>
      </w:r>
    </w:p>
    <w:p w:rsidR="00531D54" w:rsidRPr="00531D54" w:rsidRDefault="00531D54" w:rsidP="00531D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31D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531D54" w:rsidRDefault="00670299" w:rsidP="00531D54"/>
    <w:sectPr w:rsidR="00670299" w:rsidRPr="00531D5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8249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204</cp:revision>
  <dcterms:created xsi:type="dcterms:W3CDTF">2025-01-02T10:58:00Z</dcterms:created>
  <dcterms:modified xsi:type="dcterms:W3CDTF">2025-01-08T04:27:00Z</dcterms:modified>
</cp:coreProperties>
</file>